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89" w:rsidRPr="00FB0189" w:rsidRDefault="00FB0189" w:rsidP="00FB0189">
      <w:pPr>
        <w:pStyle w:val="Heading1"/>
        <w:tabs>
          <w:tab w:val="left" w:pos="3261"/>
        </w:tabs>
        <w:ind w:right="183"/>
        <w:jc w:val="right"/>
        <w:rPr>
          <w:rFonts w:ascii="Arial" w:hAnsi="Arial" w:cs="Arial"/>
          <w:noProof/>
          <w:color w:val="002060"/>
          <w:sz w:val="24"/>
          <w:lang w:eastAsia="en-GB"/>
        </w:rPr>
      </w:pPr>
      <w:r w:rsidRPr="00FB0189">
        <w:rPr>
          <w:rFonts w:ascii="Arial" w:hAnsi="Arial" w:cs="Arial"/>
          <w:noProof/>
          <w:color w:val="002060"/>
          <w:sz w:val="24"/>
          <w:lang w:eastAsia="en-GB"/>
        </w:rPr>
        <w:t>GJF/2018/02/11</w:t>
      </w:r>
    </w:p>
    <w:p w:rsidR="00FB0189" w:rsidRPr="00FB0189" w:rsidRDefault="00FB0189" w:rsidP="00FB0189">
      <w:pPr>
        <w:rPr>
          <w:lang w:eastAsia="en-GB"/>
        </w:rPr>
      </w:pPr>
    </w:p>
    <w:p w:rsidR="00354084" w:rsidRPr="00D55096" w:rsidRDefault="00B63BAF" w:rsidP="00D55096">
      <w:pPr>
        <w:pStyle w:val="Heading1"/>
        <w:tabs>
          <w:tab w:val="left" w:pos="3261"/>
        </w:tabs>
        <w:ind w:right="183"/>
        <w:rPr>
          <w:rFonts w:ascii="Arial" w:hAnsi="Arial" w:cs="Arial"/>
          <w:sz w:val="24"/>
        </w:rPr>
      </w:pPr>
      <w:r w:rsidRPr="00D55096">
        <w:rPr>
          <w:rFonts w:ascii="Arial" w:hAnsi="Arial" w:cs="Arial"/>
          <w:noProof/>
          <w:sz w:val="24"/>
          <w:lang w:eastAsia="en-GB"/>
        </w:rPr>
        <w:drawing>
          <wp:anchor distT="0" distB="0" distL="114300" distR="114300" simplePos="0" relativeHeight="251658240" behindDoc="0" locked="0" layoutInCell="1" allowOverlap="1">
            <wp:simplePos x="0" y="0"/>
            <wp:positionH relativeFrom="column">
              <wp:posOffset>4590415</wp:posOffset>
            </wp:positionH>
            <wp:positionV relativeFrom="paragraph">
              <wp:posOffset>-47625</wp:posOffset>
            </wp:positionV>
            <wp:extent cx="1388110" cy="1390650"/>
            <wp:effectExtent l="19050" t="0" r="2540"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90650"/>
                    </a:xfrm>
                    <a:prstGeom prst="rect">
                      <a:avLst/>
                    </a:prstGeom>
                    <a:noFill/>
                  </pic:spPr>
                </pic:pic>
              </a:graphicData>
            </a:graphic>
          </wp:anchor>
        </w:drawing>
      </w:r>
      <w:r w:rsidR="004F011A">
        <w:rPr>
          <w:rFonts w:ascii="Arial" w:hAnsi="Arial" w:cs="Arial"/>
          <w:noProof/>
          <w:sz w:val="24"/>
          <w:lang w:eastAsia="en-GB"/>
        </w:rPr>
        <w:t>Board</w:t>
      </w:r>
      <w:r w:rsidR="00642DCF">
        <w:rPr>
          <w:rFonts w:ascii="Arial" w:hAnsi="Arial" w:cs="Arial"/>
          <w:noProof/>
          <w:sz w:val="24"/>
          <w:lang w:eastAsia="en-GB"/>
        </w:rPr>
        <w:t xml:space="preserve"> </w:t>
      </w:r>
      <w:r w:rsidR="00D55096" w:rsidRPr="00D55096">
        <w:rPr>
          <w:rFonts w:ascii="Arial" w:hAnsi="Arial" w:cs="Arial"/>
          <w:noProof/>
          <w:sz w:val="24"/>
          <w:lang w:eastAsia="en-GB"/>
        </w:rPr>
        <w:t>Meeting</w:t>
      </w:r>
      <w:r w:rsidR="00D55096">
        <w:rPr>
          <w:rFonts w:ascii="Arial" w:hAnsi="Arial" w:cs="Arial"/>
          <w:noProof/>
          <w:sz w:val="24"/>
          <w:lang w:eastAsia="en-GB"/>
        </w:rPr>
        <w:t>:</w:t>
      </w:r>
      <w:r w:rsidR="00693B97">
        <w:rPr>
          <w:rFonts w:ascii="Arial" w:hAnsi="Arial" w:cs="Arial"/>
          <w:sz w:val="24"/>
        </w:rPr>
        <w:tab/>
      </w:r>
      <w:r w:rsidR="007864E6">
        <w:rPr>
          <w:rFonts w:ascii="Arial" w:hAnsi="Arial" w:cs="Arial"/>
          <w:b w:val="0"/>
          <w:sz w:val="24"/>
        </w:rPr>
        <w:t>15</w:t>
      </w:r>
      <w:r w:rsidR="004F011A" w:rsidRPr="004F011A">
        <w:rPr>
          <w:rFonts w:ascii="Arial" w:hAnsi="Arial" w:cs="Arial"/>
          <w:b w:val="0"/>
          <w:sz w:val="24"/>
        </w:rPr>
        <w:t xml:space="preserve"> February</w:t>
      </w:r>
      <w:r w:rsidR="004F011A">
        <w:rPr>
          <w:rFonts w:ascii="Arial" w:hAnsi="Arial" w:cs="Arial"/>
          <w:sz w:val="24"/>
        </w:rPr>
        <w:t xml:space="preserve"> </w:t>
      </w:r>
      <w:r w:rsidR="00354084" w:rsidRPr="004D00F2">
        <w:rPr>
          <w:rFonts w:ascii="Arial" w:hAnsi="Arial" w:cs="Arial"/>
          <w:b w:val="0"/>
          <w:sz w:val="24"/>
        </w:rPr>
        <w:t>201</w:t>
      </w:r>
      <w:r w:rsidR="00B03BB8">
        <w:rPr>
          <w:rFonts w:ascii="Arial" w:hAnsi="Arial" w:cs="Arial"/>
          <w:b w:val="0"/>
          <w:sz w:val="24"/>
        </w:rPr>
        <w:t>8</w:t>
      </w:r>
      <w:r w:rsidR="00354084">
        <w:rPr>
          <w:rFonts w:ascii="Arial" w:hAnsi="Arial" w:cs="Arial"/>
          <w:sz w:val="24"/>
        </w:rPr>
        <w:tab/>
      </w:r>
      <w:r w:rsidR="00354084" w:rsidRPr="001175E5">
        <w:rPr>
          <w:rFonts w:ascii="Arial" w:hAnsi="Arial" w:cs="Arial"/>
          <w:b w:val="0"/>
          <w:sz w:val="24"/>
        </w:rPr>
        <w:tab/>
      </w:r>
      <w:r w:rsidR="00354084">
        <w:rPr>
          <w:rFonts w:ascii="Arial" w:hAnsi="Arial" w:cs="Arial"/>
          <w:b w:val="0"/>
          <w:sz w:val="24"/>
        </w:rPr>
        <w:tab/>
      </w:r>
    </w:p>
    <w:p w:rsidR="00354084" w:rsidRPr="00682309" w:rsidRDefault="00354084" w:rsidP="000F4B4A">
      <w:pPr>
        <w:tabs>
          <w:tab w:val="left" w:pos="3261"/>
        </w:tabs>
        <w:ind w:left="3255" w:right="183" w:hanging="3255"/>
        <w:rPr>
          <w:rFonts w:ascii="Arial" w:hAnsi="Arial" w:cs="Arial"/>
        </w:rPr>
      </w:pPr>
      <w:r w:rsidRPr="00682309">
        <w:rPr>
          <w:rFonts w:ascii="Arial" w:hAnsi="Arial" w:cs="Arial"/>
          <w:b/>
          <w:bCs/>
        </w:rPr>
        <w:t xml:space="preserve">Subject: </w:t>
      </w:r>
      <w:r w:rsidRPr="00682309">
        <w:rPr>
          <w:rFonts w:ascii="Arial" w:hAnsi="Arial" w:cs="Arial"/>
          <w:b/>
          <w:bCs/>
        </w:rPr>
        <w:tab/>
      </w:r>
      <w:r>
        <w:rPr>
          <w:rFonts w:ascii="Arial" w:hAnsi="Arial" w:cs="Arial"/>
          <w:b/>
          <w:bCs/>
        </w:rPr>
        <w:tab/>
      </w:r>
      <w:r w:rsidRPr="00037BDB">
        <w:rPr>
          <w:rFonts w:ascii="Arial" w:hAnsi="Arial" w:cs="Arial"/>
          <w:bCs/>
        </w:rPr>
        <w:t xml:space="preserve">Finance Report – </w:t>
      </w:r>
      <w:r w:rsidR="00A832D4">
        <w:rPr>
          <w:rFonts w:ascii="Arial" w:hAnsi="Arial" w:cs="Arial"/>
          <w:bCs/>
        </w:rPr>
        <w:t>Dec</w:t>
      </w:r>
      <w:r w:rsidR="00B03BB8">
        <w:rPr>
          <w:rFonts w:ascii="Arial" w:hAnsi="Arial" w:cs="Arial"/>
          <w:bCs/>
        </w:rPr>
        <w:t>em</w:t>
      </w:r>
      <w:r>
        <w:rPr>
          <w:rFonts w:ascii="Arial" w:hAnsi="Arial" w:cs="Arial"/>
          <w:bCs/>
        </w:rPr>
        <w:t>ber 2017</w:t>
      </w:r>
    </w:p>
    <w:p w:rsidR="00354084" w:rsidRPr="00682309" w:rsidRDefault="00354084" w:rsidP="00037BDB">
      <w:pPr>
        <w:ind w:right="183"/>
        <w:rPr>
          <w:rFonts w:ascii="Arial" w:hAnsi="Arial" w:cs="Arial"/>
          <w:b/>
          <w:bCs/>
        </w:rPr>
      </w:pPr>
      <w:r w:rsidRPr="00682309">
        <w:rPr>
          <w:rFonts w:ascii="Arial" w:hAnsi="Arial" w:cs="Arial"/>
          <w:b/>
          <w:bCs/>
        </w:rPr>
        <w:tab/>
      </w:r>
    </w:p>
    <w:p w:rsidR="00354084" w:rsidRDefault="00354084" w:rsidP="006C701E">
      <w:pPr>
        <w:tabs>
          <w:tab w:val="left" w:pos="3261"/>
        </w:tabs>
        <w:ind w:left="3255" w:right="183" w:hanging="3255"/>
        <w:rPr>
          <w:rFonts w:ascii="Arial" w:hAnsi="Arial" w:cs="Arial"/>
        </w:rPr>
      </w:pPr>
      <w:r w:rsidRPr="00682309">
        <w:rPr>
          <w:rFonts w:ascii="Arial" w:hAnsi="Arial" w:cs="Arial"/>
          <w:b/>
          <w:bCs/>
        </w:rPr>
        <w:t>Recommendation:</w:t>
      </w:r>
      <w:r w:rsidRPr="00682309">
        <w:rPr>
          <w:rFonts w:ascii="Arial" w:hAnsi="Arial" w:cs="Arial"/>
          <w:b/>
          <w:bCs/>
        </w:rPr>
        <w:tab/>
      </w:r>
      <w:r>
        <w:rPr>
          <w:rFonts w:ascii="Arial" w:hAnsi="Arial" w:cs="Arial"/>
          <w:b/>
          <w:bCs/>
        </w:rPr>
        <w:tab/>
      </w:r>
      <w:r w:rsidRPr="00FB7212">
        <w:rPr>
          <w:rFonts w:ascii="Arial" w:hAnsi="Arial" w:cs="Arial"/>
        </w:rPr>
        <w:t xml:space="preserve">Members are asked to </w:t>
      </w:r>
      <w:r w:rsidR="00213C2C">
        <w:rPr>
          <w:rFonts w:ascii="Arial" w:hAnsi="Arial" w:cs="Arial"/>
        </w:rPr>
        <w:t xml:space="preserve">discuss and </w:t>
      </w:r>
      <w:r w:rsidRPr="00FB7212">
        <w:rPr>
          <w:rFonts w:ascii="Arial" w:hAnsi="Arial" w:cs="Arial"/>
        </w:rPr>
        <w:t>note this report</w:t>
      </w:r>
      <w:r>
        <w:rPr>
          <w:rFonts w:ascii="Arial" w:hAnsi="Arial" w:cs="Arial"/>
        </w:rPr>
        <w:t xml:space="preserve"> </w:t>
      </w:r>
      <w:r w:rsidRPr="00FB7212">
        <w:rPr>
          <w:rFonts w:ascii="Arial" w:hAnsi="Arial" w:cs="Arial"/>
        </w:rPr>
        <w:t xml:space="preserve">for the period to </w:t>
      </w:r>
      <w:r w:rsidR="00A832D4">
        <w:rPr>
          <w:rFonts w:ascii="Arial" w:hAnsi="Arial" w:cs="Arial"/>
        </w:rPr>
        <w:t>31 Dec</w:t>
      </w:r>
      <w:r w:rsidR="00B03BB8">
        <w:rPr>
          <w:rFonts w:ascii="Arial" w:hAnsi="Arial" w:cs="Arial"/>
        </w:rPr>
        <w:t>em</w:t>
      </w:r>
      <w:r>
        <w:rPr>
          <w:rFonts w:ascii="Arial" w:hAnsi="Arial" w:cs="Arial"/>
        </w:rPr>
        <w:t>ber 2017</w:t>
      </w:r>
    </w:p>
    <w:p w:rsidR="00FB0189" w:rsidRPr="00682309" w:rsidRDefault="00FB0189" w:rsidP="006C701E">
      <w:pPr>
        <w:tabs>
          <w:tab w:val="left" w:pos="3261"/>
        </w:tabs>
        <w:ind w:left="3255" w:right="183" w:hanging="3255"/>
        <w:rPr>
          <w:rFonts w:ascii="Arial" w:hAnsi="Arial" w:cs="Arial"/>
        </w:rPr>
      </w:pPr>
    </w:p>
    <w:p w:rsidR="00354084" w:rsidRPr="00682309" w:rsidRDefault="00354084" w:rsidP="00037BDB">
      <w:pPr>
        <w:ind w:right="-483"/>
        <w:rPr>
          <w:rFonts w:ascii="Arial" w:hAnsi="Arial" w:cs="Arial"/>
          <w:b/>
          <w:bCs/>
        </w:rPr>
      </w:pPr>
      <w:r>
        <w:rPr>
          <w:rFonts w:ascii="Arial" w:hAnsi="Arial" w:cs="Arial"/>
          <w:b/>
          <w:bCs/>
        </w:rPr>
        <w:t>__________________________________________________</w:t>
      </w:r>
      <w:r w:rsidR="00FB0189">
        <w:rPr>
          <w:rFonts w:ascii="Arial" w:hAnsi="Arial" w:cs="Arial"/>
          <w:b/>
          <w:bCs/>
        </w:rPr>
        <w:t>_____________________</w:t>
      </w:r>
    </w:p>
    <w:p w:rsidR="00354084" w:rsidRPr="00FB7212" w:rsidRDefault="00354084">
      <w:pPr>
        <w:pStyle w:val="BodyTextIndent2"/>
        <w:ind w:left="0"/>
        <w:rPr>
          <w:rFonts w:ascii="Arial" w:hAnsi="Arial" w:cs="Arial"/>
          <w:sz w:val="16"/>
        </w:rPr>
      </w:pPr>
    </w:p>
    <w:p w:rsidR="00354084" w:rsidRDefault="00354084" w:rsidP="00F77BF0">
      <w:pPr>
        <w:pStyle w:val="Heading4"/>
        <w:numPr>
          <w:ilvl w:val="0"/>
          <w:numId w:val="3"/>
        </w:numPr>
        <w:rPr>
          <w:rFonts w:ascii="Arial" w:hAnsi="Arial" w:cs="Arial"/>
        </w:rPr>
      </w:pPr>
      <w:r w:rsidRPr="00FB7212">
        <w:rPr>
          <w:rFonts w:ascii="Arial" w:hAnsi="Arial" w:cs="Arial"/>
        </w:rPr>
        <w:t>Introduction/Key Issues</w:t>
      </w:r>
    </w:p>
    <w:p w:rsidR="00354084" w:rsidRDefault="00354084" w:rsidP="007A3B40">
      <w:pPr>
        <w:pStyle w:val="BodyTextIndent2"/>
        <w:ind w:left="0"/>
        <w:jc w:val="left"/>
        <w:rPr>
          <w:rFonts w:ascii="Arial" w:hAnsi="Arial" w:cs="Arial"/>
        </w:rPr>
      </w:pPr>
    </w:p>
    <w:p w:rsidR="00354084" w:rsidRPr="002E3101" w:rsidRDefault="00354084" w:rsidP="00E66A89">
      <w:pPr>
        <w:pStyle w:val="BodyTextIndent2"/>
        <w:ind w:left="360"/>
        <w:jc w:val="left"/>
        <w:rPr>
          <w:rFonts w:ascii="Arial" w:hAnsi="Arial" w:cs="Arial"/>
        </w:rPr>
      </w:pPr>
      <w:r w:rsidRPr="002E3101">
        <w:rPr>
          <w:rFonts w:ascii="Arial" w:hAnsi="Arial" w:cs="Arial"/>
        </w:rPr>
        <w:t>The year-to-date (Y</w:t>
      </w:r>
      <w:r w:rsidR="00CC17B4">
        <w:rPr>
          <w:rFonts w:ascii="Arial" w:hAnsi="Arial" w:cs="Arial"/>
        </w:rPr>
        <w:t>TD) results show a total surplus</w:t>
      </w:r>
      <w:r w:rsidRPr="002E3101">
        <w:rPr>
          <w:rFonts w:ascii="Arial" w:hAnsi="Arial" w:cs="Arial"/>
        </w:rPr>
        <w:t xml:space="preserve"> of </w:t>
      </w:r>
      <w:r w:rsidRPr="00564A03">
        <w:rPr>
          <w:rFonts w:ascii="Arial" w:hAnsi="Arial" w:cs="Arial"/>
        </w:rPr>
        <w:t>£</w:t>
      </w:r>
      <w:r w:rsidR="005E18EA">
        <w:rPr>
          <w:rFonts w:ascii="Arial" w:hAnsi="Arial" w:cs="Arial"/>
        </w:rPr>
        <w:t>2</w:t>
      </w:r>
      <w:r w:rsidR="004F011A">
        <w:rPr>
          <w:rFonts w:ascii="Arial" w:hAnsi="Arial" w:cs="Arial"/>
        </w:rPr>
        <w:t>88</w:t>
      </w:r>
      <w:r w:rsidRPr="00564A03">
        <w:rPr>
          <w:rFonts w:ascii="Arial" w:hAnsi="Arial" w:cs="Arial"/>
        </w:rPr>
        <w:t>k.</w:t>
      </w:r>
      <w:r w:rsidRPr="002E3101">
        <w:rPr>
          <w:rFonts w:ascii="Arial" w:hAnsi="Arial" w:cs="Arial"/>
        </w:rPr>
        <w:t xml:space="preserve"> This includes both core and non-core expenditure, this is in line with the forecast in the finance plan. This </w:t>
      </w:r>
      <w:r>
        <w:rPr>
          <w:rFonts w:ascii="Arial" w:hAnsi="Arial" w:cs="Arial"/>
        </w:rPr>
        <w:t xml:space="preserve">planned </w:t>
      </w:r>
      <w:r w:rsidRPr="002E3101">
        <w:rPr>
          <w:rFonts w:ascii="Arial" w:hAnsi="Arial" w:cs="Arial"/>
        </w:rPr>
        <w:t>surplus is made of the following:</w:t>
      </w:r>
    </w:p>
    <w:p w:rsidR="00354084" w:rsidRPr="002E3101" w:rsidRDefault="00354084" w:rsidP="00255F24">
      <w:pPr>
        <w:pStyle w:val="BodyTextIndent2"/>
        <w:ind w:left="0"/>
        <w:jc w:val="left"/>
        <w:rPr>
          <w:rFonts w:ascii="Arial" w:hAnsi="Arial" w:cs="Arial"/>
        </w:rPr>
      </w:pPr>
    </w:p>
    <w:p w:rsidR="00354084" w:rsidRPr="002E3101" w:rsidRDefault="008749E9" w:rsidP="00642DCF">
      <w:pPr>
        <w:pStyle w:val="BodyTextIndent2"/>
        <w:numPr>
          <w:ilvl w:val="0"/>
          <w:numId w:val="4"/>
        </w:numPr>
        <w:tabs>
          <w:tab w:val="clear" w:pos="1080"/>
          <w:tab w:val="num" w:pos="1276"/>
        </w:tabs>
        <w:ind w:left="709"/>
        <w:jc w:val="left"/>
        <w:rPr>
          <w:rFonts w:ascii="Arial" w:hAnsi="Arial" w:cs="Arial"/>
        </w:rPr>
      </w:pPr>
      <w:r>
        <w:rPr>
          <w:rFonts w:ascii="Arial" w:hAnsi="Arial" w:cs="Arial"/>
        </w:rPr>
        <w:t>Income – ahead of</w:t>
      </w:r>
      <w:r w:rsidR="00354084" w:rsidRPr="002E3101">
        <w:rPr>
          <w:rFonts w:ascii="Arial" w:hAnsi="Arial" w:cs="Arial"/>
        </w:rPr>
        <w:t xml:space="preserve"> target by £</w:t>
      </w:r>
      <w:r w:rsidR="00A52272">
        <w:rPr>
          <w:rFonts w:ascii="Arial" w:hAnsi="Arial" w:cs="Arial"/>
        </w:rPr>
        <w:t>2</w:t>
      </w:r>
      <w:r w:rsidR="00CC17B4">
        <w:rPr>
          <w:rFonts w:ascii="Arial" w:hAnsi="Arial" w:cs="Arial"/>
        </w:rPr>
        <w:t>69</w:t>
      </w:r>
      <w:r w:rsidR="00354084" w:rsidRPr="002E3101">
        <w:rPr>
          <w:rFonts w:ascii="Arial" w:hAnsi="Arial" w:cs="Arial"/>
        </w:rPr>
        <w:t>k YTD;</w:t>
      </w:r>
    </w:p>
    <w:p w:rsidR="00354084" w:rsidRPr="002E3101" w:rsidRDefault="00354084" w:rsidP="00642DCF">
      <w:pPr>
        <w:pStyle w:val="BodyTextIndent2"/>
        <w:numPr>
          <w:ilvl w:val="0"/>
          <w:numId w:val="4"/>
        </w:numPr>
        <w:tabs>
          <w:tab w:val="clear" w:pos="1080"/>
          <w:tab w:val="num" w:pos="709"/>
        </w:tabs>
        <w:ind w:left="709"/>
        <w:jc w:val="left"/>
        <w:rPr>
          <w:rFonts w:ascii="Arial" w:hAnsi="Arial" w:cs="Arial"/>
        </w:rPr>
      </w:pPr>
      <w:r w:rsidRPr="002E3101">
        <w:rPr>
          <w:rFonts w:ascii="Arial" w:hAnsi="Arial" w:cs="Arial"/>
        </w:rPr>
        <w:t xml:space="preserve">Core Expenditure – </w:t>
      </w:r>
      <w:r w:rsidR="008749E9">
        <w:rPr>
          <w:rFonts w:ascii="Arial" w:hAnsi="Arial" w:cs="Arial"/>
        </w:rPr>
        <w:t>ov</w:t>
      </w:r>
      <w:r w:rsidRPr="002E3101">
        <w:rPr>
          <w:rFonts w:ascii="Arial" w:hAnsi="Arial" w:cs="Arial"/>
        </w:rPr>
        <w:t xml:space="preserve">erspend of </w:t>
      </w:r>
      <w:r w:rsidR="008749E9">
        <w:rPr>
          <w:rFonts w:ascii="Arial" w:hAnsi="Arial" w:cs="Arial"/>
        </w:rPr>
        <w:t>(</w:t>
      </w:r>
      <w:r w:rsidRPr="002E3101">
        <w:rPr>
          <w:rFonts w:ascii="Arial" w:hAnsi="Arial" w:cs="Arial"/>
        </w:rPr>
        <w:t>£</w:t>
      </w:r>
      <w:r w:rsidR="00A52272">
        <w:rPr>
          <w:rFonts w:ascii="Arial" w:hAnsi="Arial" w:cs="Arial"/>
        </w:rPr>
        <w:t>50</w:t>
      </w:r>
      <w:r w:rsidRPr="002E3101">
        <w:rPr>
          <w:rFonts w:ascii="Arial" w:hAnsi="Arial" w:cs="Arial"/>
        </w:rPr>
        <w:t>k</w:t>
      </w:r>
      <w:r w:rsidR="008749E9">
        <w:rPr>
          <w:rFonts w:ascii="Arial" w:hAnsi="Arial" w:cs="Arial"/>
        </w:rPr>
        <w:t>)</w:t>
      </w:r>
      <w:r w:rsidRPr="002E3101">
        <w:rPr>
          <w:rFonts w:ascii="Arial" w:hAnsi="Arial" w:cs="Arial"/>
        </w:rPr>
        <w:t xml:space="preserve"> YTD; and</w:t>
      </w:r>
    </w:p>
    <w:p w:rsidR="00354084" w:rsidRPr="002E3101" w:rsidRDefault="00CC17B4" w:rsidP="00642DCF">
      <w:pPr>
        <w:pStyle w:val="BodyTextIndent2"/>
        <w:numPr>
          <w:ilvl w:val="0"/>
          <w:numId w:val="4"/>
        </w:numPr>
        <w:tabs>
          <w:tab w:val="clear" w:pos="1080"/>
          <w:tab w:val="num" w:pos="709"/>
        </w:tabs>
        <w:ind w:left="709"/>
        <w:jc w:val="left"/>
        <w:rPr>
          <w:rFonts w:ascii="Arial" w:hAnsi="Arial" w:cs="Arial"/>
        </w:rPr>
      </w:pPr>
      <w:r>
        <w:rPr>
          <w:rFonts w:ascii="Arial" w:hAnsi="Arial" w:cs="Arial"/>
        </w:rPr>
        <w:t xml:space="preserve">Non-core Expenditure – </w:t>
      </w:r>
      <w:proofErr w:type="spellStart"/>
      <w:r>
        <w:rPr>
          <w:rFonts w:ascii="Arial" w:hAnsi="Arial" w:cs="Arial"/>
        </w:rPr>
        <w:t>und</w:t>
      </w:r>
      <w:r w:rsidR="00354084" w:rsidRPr="002E3101">
        <w:rPr>
          <w:rFonts w:ascii="Arial" w:hAnsi="Arial" w:cs="Arial"/>
        </w:rPr>
        <w:t>erspend</w:t>
      </w:r>
      <w:proofErr w:type="spellEnd"/>
      <w:r w:rsidR="00354084" w:rsidRPr="002E3101">
        <w:rPr>
          <w:rFonts w:ascii="Arial" w:hAnsi="Arial" w:cs="Arial"/>
        </w:rPr>
        <w:t xml:space="preserve"> of </w:t>
      </w:r>
      <w:r w:rsidR="006C162F" w:rsidRPr="00564A03">
        <w:rPr>
          <w:rFonts w:ascii="Arial" w:hAnsi="Arial" w:cs="Arial"/>
        </w:rPr>
        <w:t>£</w:t>
      </w:r>
      <w:r w:rsidR="004F011A">
        <w:rPr>
          <w:rFonts w:ascii="Arial" w:hAnsi="Arial" w:cs="Arial"/>
        </w:rPr>
        <w:t>70</w:t>
      </w:r>
      <w:r w:rsidR="00354084" w:rsidRPr="00564A03">
        <w:rPr>
          <w:rFonts w:ascii="Arial" w:hAnsi="Arial" w:cs="Arial"/>
        </w:rPr>
        <w:t>k</w:t>
      </w:r>
      <w:r w:rsidR="00354084" w:rsidRPr="002E3101">
        <w:rPr>
          <w:rFonts w:ascii="Arial" w:hAnsi="Arial" w:cs="Arial"/>
        </w:rPr>
        <w:t xml:space="preserve"> YTD.</w:t>
      </w:r>
    </w:p>
    <w:p w:rsidR="00354084" w:rsidRDefault="00354084" w:rsidP="005360F9">
      <w:pPr>
        <w:pStyle w:val="BodyTextIndent2"/>
        <w:ind w:left="360"/>
        <w:jc w:val="left"/>
        <w:rPr>
          <w:rFonts w:ascii="Arial" w:hAnsi="Arial" w:cs="Arial"/>
        </w:rPr>
      </w:pPr>
    </w:p>
    <w:p w:rsidR="00354084" w:rsidRDefault="00354084" w:rsidP="005360F9">
      <w:pPr>
        <w:pStyle w:val="BodyTextIndent2"/>
        <w:ind w:left="360"/>
        <w:jc w:val="left"/>
        <w:rPr>
          <w:rFonts w:ascii="Arial" w:hAnsi="Arial" w:cs="Arial"/>
        </w:rPr>
      </w:pPr>
    </w:p>
    <w:p w:rsidR="002942C5" w:rsidRDefault="00A76E35" w:rsidP="002942C5">
      <w:pPr>
        <w:pStyle w:val="Heading4"/>
        <w:numPr>
          <w:ilvl w:val="0"/>
          <w:numId w:val="3"/>
        </w:numPr>
        <w:rPr>
          <w:rFonts w:ascii="Arial" w:hAnsi="Arial" w:cs="Arial"/>
        </w:rPr>
      </w:pPr>
      <w:r>
        <w:rPr>
          <w:rFonts w:ascii="Arial" w:hAnsi="Arial" w:cs="Arial"/>
        </w:rPr>
        <w:t xml:space="preserve">Budget Setting </w:t>
      </w:r>
      <w:r w:rsidR="002942C5">
        <w:rPr>
          <w:rFonts w:ascii="Arial" w:hAnsi="Arial" w:cs="Arial"/>
        </w:rPr>
        <w:t xml:space="preserve">and Efficiency Savings 2018/19 </w:t>
      </w:r>
    </w:p>
    <w:p w:rsidR="002942C5" w:rsidRDefault="002942C5" w:rsidP="002942C5"/>
    <w:p w:rsidR="002942C5" w:rsidRDefault="002942C5" w:rsidP="002942C5">
      <w:pPr>
        <w:ind w:left="360"/>
        <w:rPr>
          <w:rFonts w:ascii="Arial" w:hAnsi="Arial" w:cs="Arial"/>
        </w:rPr>
      </w:pPr>
      <w:r w:rsidRPr="00102448">
        <w:rPr>
          <w:rFonts w:ascii="Arial" w:hAnsi="Arial" w:cs="Arial"/>
        </w:rPr>
        <w:t xml:space="preserve">The budget setting process for </w:t>
      </w:r>
      <w:r>
        <w:rPr>
          <w:rFonts w:ascii="Arial" w:hAnsi="Arial" w:cs="Arial"/>
        </w:rPr>
        <w:t>2018/19</w:t>
      </w:r>
      <w:r w:rsidRPr="00102448">
        <w:rPr>
          <w:rFonts w:ascii="Arial" w:hAnsi="Arial" w:cs="Arial"/>
        </w:rPr>
        <w:t xml:space="preserve"> </w:t>
      </w:r>
      <w:r>
        <w:rPr>
          <w:rFonts w:ascii="Arial" w:hAnsi="Arial" w:cs="Arial"/>
        </w:rPr>
        <w:t>commenced in December</w:t>
      </w:r>
      <w:r w:rsidR="001D5364">
        <w:rPr>
          <w:rFonts w:ascii="Arial" w:hAnsi="Arial" w:cs="Arial"/>
        </w:rPr>
        <w:t xml:space="preserve">, following the Scottish Budget announcement, </w:t>
      </w:r>
      <w:r w:rsidRPr="00102448">
        <w:rPr>
          <w:rFonts w:ascii="Arial" w:hAnsi="Arial" w:cs="Arial"/>
        </w:rPr>
        <w:t>with the initial first pass of the budget being planned for completion by</w:t>
      </w:r>
      <w:r>
        <w:rPr>
          <w:rFonts w:ascii="Arial" w:hAnsi="Arial" w:cs="Arial"/>
        </w:rPr>
        <w:t xml:space="preserve"> the end of January</w:t>
      </w:r>
      <w:r w:rsidR="001D5364">
        <w:rPr>
          <w:rFonts w:ascii="Arial" w:hAnsi="Arial" w:cs="Arial"/>
        </w:rPr>
        <w:t>.</w:t>
      </w:r>
      <w:r w:rsidRPr="00102448">
        <w:rPr>
          <w:rFonts w:ascii="Arial" w:hAnsi="Arial" w:cs="Arial"/>
        </w:rPr>
        <w:t xml:space="preserve"> As part of t</w:t>
      </w:r>
      <w:r>
        <w:rPr>
          <w:rFonts w:ascii="Arial" w:hAnsi="Arial" w:cs="Arial"/>
        </w:rPr>
        <w:t>h</w:t>
      </w:r>
      <w:r w:rsidR="001D5364">
        <w:rPr>
          <w:rFonts w:ascii="Arial" w:hAnsi="Arial" w:cs="Arial"/>
        </w:rPr>
        <w:t>is</w:t>
      </w:r>
      <w:r>
        <w:rPr>
          <w:rFonts w:ascii="Arial" w:hAnsi="Arial" w:cs="Arial"/>
        </w:rPr>
        <w:t xml:space="preserve"> exercise</w:t>
      </w:r>
      <w:r w:rsidR="00FB0189">
        <w:rPr>
          <w:rFonts w:ascii="Arial" w:hAnsi="Arial" w:cs="Arial"/>
        </w:rPr>
        <w:t>,</w:t>
      </w:r>
      <w:r>
        <w:rPr>
          <w:rFonts w:ascii="Arial" w:hAnsi="Arial" w:cs="Arial"/>
        </w:rPr>
        <w:t xml:space="preserve"> individual meetings</w:t>
      </w:r>
      <w:r w:rsidRPr="00102448">
        <w:rPr>
          <w:rFonts w:ascii="Arial" w:hAnsi="Arial" w:cs="Arial"/>
        </w:rPr>
        <w:t xml:space="preserve"> </w:t>
      </w:r>
      <w:r>
        <w:rPr>
          <w:rFonts w:ascii="Arial" w:hAnsi="Arial" w:cs="Arial"/>
        </w:rPr>
        <w:t>will be arranged with</w:t>
      </w:r>
      <w:r w:rsidRPr="00102448">
        <w:rPr>
          <w:rFonts w:ascii="Arial" w:hAnsi="Arial" w:cs="Arial"/>
        </w:rPr>
        <w:t xml:space="preserve"> the </w:t>
      </w:r>
      <w:r>
        <w:rPr>
          <w:rFonts w:ascii="Arial" w:hAnsi="Arial" w:cs="Arial"/>
        </w:rPr>
        <w:t>Associate Director</w:t>
      </w:r>
      <w:r w:rsidR="00FB0189">
        <w:rPr>
          <w:rFonts w:ascii="Arial" w:hAnsi="Arial" w:cs="Arial"/>
        </w:rPr>
        <w:t>s</w:t>
      </w:r>
      <w:r>
        <w:rPr>
          <w:rFonts w:ascii="Arial" w:hAnsi="Arial" w:cs="Arial"/>
        </w:rPr>
        <w:t xml:space="preserve"> of </w:t>
      </w:r>
      <w:r w:rsidR="001D5364">
        <w:rPr>
          <w:rFonts w:ascii="Arial" w:hAnsi="Arial" w:cs="Arial"/>
        </w:rPr>
        <w:t>O</w:t>
      </w:r>
      <w:r>
        <w:rPr>
          <w:rFonts w:ascii="Arial" w:hAnsi="Arial" w:cs="Arial"/>
        </w:rPr>
        <w:t xml:space="preserve">perations, budget managers and </w:t>
      </w:r>
      <w:r w:rsidRPr="00102448">
        <w:rPr>
          <w:rFonts w:ascii="Arial" w:hAnsi="Arial" w:cs="Arial"/>
        </w:rPr>
        <w:t xml:space="preserve">heads of corporate departments to review </w:t>
      </w:r>
      <w:r>
        <w:rPr>
          <w:rFonts w:ascii="Arial" w:hAnsi="Arial" w:cs="Arial"/>
        </w:rPr>
        <w:t>this, consider cost pressures</w:t>
      </w:r>
      <w:r w:rsidR="00FB0189">
        <w:rPr>
          <w:rFonts w:ascii="Arial" w:hAnsi="Arial" w:cs="Arial"/>
        </w:rPr>
        <w:t>, non-</w:t>
      </w:r>
      <w:r w:rsidR="001D5364">
        <w:rPr>
          <w:rFonts w:ascii="Arial" w:hAnsi="Arial" w:cs="Arial"/>
        </w:rPr>
        <w:t>recurring expenditure</w:t>
      </w:r>
      <w:r>
        <w:rPr>
          <w:rFonts w:ascii="Arial" w:hAnsi="Arial" w:cs="Arial"/>
        </w:rPr>
        <w:t xml:space="preserve"> and service activity change</w:t>
      </w:r>
      <w:r w:rsidRPr="00102448">
        <w:rPr>
          <w:rFonts w:ascii="Arial" w:hAnsi="Arial" w:cs="Arial"/>
        </w:rPr>
        <w:t xml:space="preserve"> and revise as appropriate.</w:t>
      </w:r>
      <w:r>
        <w:rPr>
          <w:rFonts w:ascii="Arial" w:hAnsi="Arial" w:cs="Arial"/>
        </w:rPr>
        <w:t xml:space="preserve"> </w:t>
      </w:r>
    </w:p>
    <w:p w:rsidR="002942C5" w:rsidRDefault="002942C5" w:rsidP="002942C5">
      <w:pPr>
        <w:ind w:left="360"/>
        <w:rPr>
          <w:rFonts w:ascii="Arial" w:hAnsi="Arial" w:cs="Arial"/>
        </w:rPr>
      </w:pPr>
    </w:p>
    <w:p w:rsidR="002942C5" w:rsidRDefault="00A76E35" w:rsidP="002942C5">
      <w:pPr>
        <w:ind w:left="360"/>
        <w:rPr>
          <w:rFonts w:ascii="Arial" w:hAnsi="Arial" w:cs="Arial"/>
        </w:rPr>
      </w:pPr>
      <w:r>
        <w:rPr>
          <w:rFonts w:ascii="Arial" w:hAnsi="Arial" w:cs="Arial"/>
        </w:rPr>
        <w:t xml:space="preserve">Parallel to the </w:t>
      </w:r>
      <w:r w:rsidR="002C21A8">
        <w:rPr>
          <w:rFonts w:ascii="Arial" w:hAnsi="Arial" w:cs="Arial"/>
        </w:rPr>
        <w:t xml:space="preserve">detailed </w:t>
      </w:r>
      <w:r>
        <w:rPr>
          <w:rFonts w:ascii="Arial" w:hAnsi="Arial" w:cs="Arial"/>
        </w:rPr>
        <w:t>budget process</w:t>
      </w:r>
      <w:r w:rsidR="00FB0189">
        <w:rPr>
          <w:rFonts w:ascii="Arial" w:hAnsi="Arial" w:cs="Arial"/>
        </w:rPr>
        <w:t>,</w:t>
      </w:r>
      <w:r>
        <w:rPr>
          <w:rFonts w:ascii="Arial" w:hAnsi="Arial" w:cs="Arial"/>
        </w:rPr>
        <w:t xml:space="preserve"> </w:t>
      </w:r>
      <w:r w:rsidR="002942C5">
        <w:rPr>
          <w:rFonts w:ascii="Arial" w:hAnsi="Arial" w:cs="Arial"/>
        </w:rPr>
        <w:t xml:space="preserve">meetings will </w:t>
      </w:r>
      <w:r>
        <w:rPr>
          <w:rFonts w:ascii="Arial" w:hAnsi="Arial" w:cs="Arial"/>
        </w:rPr>
        <w:t xml:space="preserve">also take place </w:t>
      </w:r>
      <w:r w:rsidR="002942C5">
        <w:rPr>
          <w:rFonts w:ascii="Arial" w:hAnsi="Arial" w:cs="Arial"/>
        </w:rPr>
        <w:t>with Divisional and Corporate teams</w:t>
      </w:r>
      <w:r>
        <w:rPr>
          <w:rFonts w:ascii="Arial" w:hAnsi="Arial" w:cs="Arial"/>
        </w:rPr>
        <w:t>, Nursing Director and Medical Director</w:t>
      </w:r>
      <w:r w:rsidR="002942C5">
        <w:rPr>
          <w:rFonts w:ascii="Arial" w:hAnsi="Arial" w:cs="Arial"/>
        </w:rPr>
        <w:t xml:space="preserve"> to</w:t>
      </w:r>
      <w:r>
        <w:rPr>
          <w:rFonts w:ascii="Arial" w:hAnsi="Arial" w:cs="Arial"/>
        </w:rPr>
        <w:t xml:space="preserve"> compile efficiency schemes to support the </w:t>
      </w:r>
      <w:r w:rsidR="00FB0189">
        <w:rPr>
          <w:rFonts w:ascii="Arial" w:hAnsi="Arial" w:cs="Arial"/>
        </w:rPr>
        <w:t>Financial Plan process for 2018/</w:t>
      </w:r>
      <w:r>
        <w:rPr>
          <w:rFonts w:ascii="Arial" w:hAnsi="Arial" w:cs="Arial"/>
        </w:rPr>
        <w:t>19</w:t>
      </w:r>
      <w:r w:rsidR="00FB0189">
        <w:rPr>
          <w:rFonts w:ascii="Arial" w:hAnsi="Arial" w:cs="Arial"/>
        </w:rPr>
        <w:t>,</w:t>
      </w:r>
      <w:r>
        <w:rPr>
          <w:rFonts w:ascii="Arial" w:hAnsi="Arial" w:cs="Arial"/>
        </w:rPr>
        <w:t xml:space="preserve"> with initial review indicating a 4% efficiency target.</w:t>
      </w:r>
      <w:r w:rsidR="002942C5" w:rsidRPr="00102448">
        <w:rPr>
          <w:rFonts w:ascii="Arial" w:hAnsi="Arial" w:cs="Arial"/>
        </w:rPr>
        <w:t xml:space="preserve"> It is anticipated that this exercise will be completed to inform the Board</w:t>
      </w:r>
      <w:r w:rsidR="00FB0189">
        <w:rPr>
          <w:rFonts w:ascii="Arial" w:hAnsi="Arial" w:cs="Arial"/>
        </w:rPr>
        <w:t>’</w:t>
      </w:r>
      <w:r w:rsidR="002942C5" w:rsidRPr="00102448">
        <w:rPr>
          <w:rFonts w:ascii="Arial" w:hAnsi="Arial" w:cs="Arial"/>
        </w:rPr>
        <w:t>s financial plan.</w:t>
      </w:r>
      <w:r w:rsidR="002942C5">
        <w:rPr>
          <w:rFonts w:ascii="Arial" w:hAnsi="Arial" w:cs="Arial"/>
        </w:rPr>
        <w:t xml:space="preserve"> As in previous years detailed budget assumptions will be presented to the Performance and Planning committee.</w:t>
      </w:r>
    </w:p>
    <w:p w:rsidR="002942C5" w:rsidRDefault="002942C5" w:rsidP="002942C5">
      <w:pPr>
        <w:ind w:left="360"/>
        <w:rPr>
          <w:rFonts w:ascii="Arial" w:hAnsi="Arial" w:cs="Arial"/>
        </w:rPr>
      </w:pPr>
    </w:p>
    <w:p w:rsidR="002942C5" w:rsidRDefault="00A76E35" w:rsidP="002942C5">
      <w:pPr>
        <w:ind w:left="360"/>
        <w:rPr>
          <w:rFonts w:ascii="Arial" w:hAnsi="Arial" w:cs="Arial"/>
        </w:rPr>
      </w:pPr>
      <w:r>
        <w:rPr>
          <w:rFonts w:ascii="Arial" w:hAnsi="Arial" w:cs="Arial"/>
        </w:rPr>
        <w:t>Continuing with</w:t>
      </w:r>
      <w:r w:rsidR="002942C5">
        <w:rPr>
          <w:rFonts w:ascii="Arial" w:hAnsi="Arial" w:cs="Arial"/>
        </w:rPr>
        <w:t xml:space="preserve"> prior year</w:t>
      </w:r>
      <w:r>
        <w:rPr>
          <w:rFonts w:ascii="Arial" w:hAnsi="Arial" w:cs="Arial"/>
        </w:rPr>
        <w:t>s</w:t>
      </w:r>
      <w:r w:rsidR="00FB0189">
        <w:rPr>
          <w:rFonts w:ascii="Arial" w:hAnsi="Arial" w:cs="Arial"/>
        </w:rPr>
        <w:t>’</w:t>
      </w:r>
      <w:r>
        <w:rPr>
          <w:rFonts w:ascii="Arial" w:hAnsi="Arial" w:cs="Arial"/>
        </w:rPr>
        <w:t xml:space="preserve"> process</w:t>
      </w:r>
      <w:r w:rsidR="00FB0189">
        <w:rPr>
          <w:rFonts w:ascii="Arial" w:hAnsi="Arial" w:cs="Arial"/>
        </w:rPr>
        <w:t>,</w:t>
      </w:r>
      <w:r w:rsidR="002942C5">
        <w:rPr>
          <w:rFonts w:ascii="Arial" w:hAnsi="Arial" w:cs="Arial"/>
        </w:rPr>
        <w:t xml:space="preserve"> the Board will utilise the roll-over budget function for recurring budgets </w:t>
      </w:r>
      <w:r w:rsidR="001D5364">
        <w:rPr>
          <w:rFonts w:ascii="Arial" w:hAnsi="Arial" w:cs="Arial"/>
        </w:rPr>
        <w:t xml:space="preserve">within </w:t>
      </w:r>
      <w:r w:rsidR="002942C5">
        <w:rPr>
          <w:rFonts w:ascii="Arial" w:hAnsi="Arial" w:cs="Arial"/>
        </w:rPr>
        <w:t>the finance system</w:t>
      </w:r>
      <w:r w:rsidR="00FB0189">
        <w:rPr>
          <w:rFonts w:ascii="Arial" w:hAnsi="Arial" w:cs="Arial"/>
        </w:rPr>
        <w:t>;</w:t>
      </w:r>
      <w:r w:rsidR="002942C5">
        <w:rPr>
          <w:rFonts w:ascii="Arial" w:hAnsi="Arial" w:cs="Arial"/>
        </w:rPr>
        <w:t xml:space="preserve"> this will enable the Boar</w:t>
      </w:r>
      <w:r>
        <w:rPr>
          <w:rFonts w:ascii="Arial" w:hAnsi="Arial" w:cs="Arial"/>
        </w:rPr>
        <w:t>d to report on month one of 2018/19</w:t>
      </w:r>
      <w:r w:rsidR="001D5364">
        <w:rPr>
          <w:rFonts w:ascii="Arial" w:hAnsi="Arial" w:cs="Arial"/>
        </w:rPr>
        <w:t>. T</w:t>
      </w:r>
      <w:r w:rsidR="002942C5">
        <w:rPr>
          <w:rFonts w:ascii="Arial" w:hAnsi="Arial" w:cs="Arial"/>
        </w:rPr>
        <w:t>herefore provid</w:t>
      </w:r>
      <w:r w:rsidR="001D5364">
        <w:rPr>
          <w:rFonts w:ascii="Arial" w:hAnsi="Arial" w:cs="Arial"/>
        </w:rPr>
        <w:t>ing</w:t>
      </w:r>
      <w:r w:rsidR="002942C5">
        <w:rPr>
          <w:rFonts w:ascii="Arial" w:hAnsi="Arial" w:cs="Arial"/>
        </w:rPr>
        <w:t xml:space="preserve"> a more robust financial planning and reporting process.</w:t>
      </w:r>
    </w:p>
    <w:p w:rsidR="00A03F67" w:rsidRDefault="00A03F67" w:rsidP="002942C5">
      <w:pPr>
        <w:ind w:left="360"/>
        <w:rPr>
          <w:rFonts w:ascii="Arial" w:hAnsi="Arial" w:cs="Arial"/>
        </w:rPr>
      </w:pPr>
    </w:p>
    <w:p w:rsidR="002942C5" w:rsidRPr="00F551E5" w:rsidRDefault="002942C5" w:rsidP="00255F24">
      <w:pPr>
        <w:pStyle w:val="BodyTextIndent2"/>
        <w:ind w:left="360"/>
        <w:jc w:val="left"/>
        <w:rPr>
          <w:rFonts w:ascii="Arial" w:hAnsi="Arial" w:cs="Arial"/>
        </w:rPr>
      </w:pPr>
    </w:p>
    <w:p w:rsidR="00B03BB8" w:rsidRDefault="00B03BB8" w:rsidP="00B03BB8">
      <w:pPr>
        <w:pStyle w:val="Heading4"/>
        <w:numPr>
          <w:ilvl w:val="0"/>
          <w:numId w:val="3"/>
        </w:numPr>
        <w:rPr>
          <w:rFonts w:ascii="Arial" w:hAnsi="Arial" w:cs="Arial"/>
        </w:rPr>
      </w:pPr>
      <w:r>
        <w:rPr>
          <w:rFonts w:ascii="Arial" w:hAnsi="Arial" w:cs="Arial"/>
        </w:rPr>
        <w:t xml:space="preserve">Financial Planning 2018/19 </w:t>
      </w:r>
    </w:p>
    <w:p w:rsidR="00B03BB8" w:rsidRDefault="00B03BB8" w:rsidP="00B03BB8"/>
    <w:p w:rsidR="00B03BB8" w:rsidRPr="002E52E9" w:rsidRDefault="00B03BB8" w:rsidP="00B03BB8">
      <w:pPr>
        <w:ind w:left="360"/>
        <w:rPr>
          <w:rFonts w:ascii="Arial" w:hAnsi="Arial" w:cs="Arial"/>
        </w:rPr>
      </w:pPr>
      <w:r w:rsidRPr="002E52E9">
        <w:rPr>
          <w:rFonts w:ascii="Arial" w:hAnsi="Arial" w:cs="Arial"/>
          <w:bCs/>
          <w:iCs/>
        </w:rPr>
        <w:t xml:space="preserve">In conjunction with the </w:t>
      </w:r>
      <w:r w:rsidR="00FB0189">
        <w:rPr>
          <w:rFonts w:ascii="Arial" w:hAnsi="Arial" w:cs="Arial"/>
          <w:bCs/>
          <w:iCs/>
        </w:rPr>
        <w:t>2018/</w:t>
      </w:r>
      <w:r w:rsidR="002942C5">
        <w:rPr>
          <w:rFonts w:ascii="Arial" w:hAnsi="Arial" w:cs="Arial"/>
          <w:bCs/>
          <w:iCs/>
        </w:rPr>
        <w:t xml:space="preserve">19 </w:t>
      </w:r>
      <w:r w:rsidRPr="002E52E9">
        <w:rPr>
          <w:rFonts w:ascii="Arial" w:hAnsi="Arial" w:cs="Arial"/>
          <w:bCs/>
          <w:iCs/>
        </w:rPr>
        <w:t>budget setting</w:t>
      </w:r>
      <w:r w:rsidR="00FB0189">
        <w:rPr>
          <w:rFonts w:ascii="Arial" w:hAnsi="Arial" w:cs="Arial"/>
          <w:bCs/>
          <w:iCs/>
        </w:rPr>
        <w:t>,</w:t>
      </w:r>
      <w:r w:rsidRPr="002E52E9">
        <w:rPr>
          <w:rFonts w:ascii="Arial" w:hAnsi="Arial" w:cs="Arial"/>
          <w:bCs/>
          <w:iCs/>
        </w:rPr>
        <w:t xml:space="preserve"> </w:t>
      </w:r>
      <w:r w:rsidR="002942C5">
        <w:rPr>
          <w:rFonts w:ascii="Arial" w:hAnsi="Arial" w:cs="Arial"/>
          <w:bCs/>
          <w:iCs/>
        </w:rPr>
        <w:t xml:space="preserve">a </w:t>
      </w:r>
      <w:r w:rsidRPr="002E52E9">
        <w:rPr>
          <w:rFonts w:ascii="Arial" w:hAnsi="Arial" w:cs="Arial"/>
          <w:bCs/>
          <w:iCs/>
        </w:rPr>
        <w:t xml:space="preserve">top-down exercise is also being undertaken which </w:t>
      </w:r>
      <w:r w:rsidR="002E52E9" w:rsidRPr="002E52E9">
        <w:rPr>
          <w:rFonts w:ascii="Arial" w:hAnsi="Arial" w:cs="Arial"/>
          <w:bCs/>
          <w:iCs/>
        </w:rPr>
        <w:t>will</w:t>
      </w:r>
      <w:r w:rsidRPr="002E52E9">
        <w:rPr>
          <w:rFonts w:ascii="Arial" w:hAnsi="Arial" w:cs="Arial"/>
          <w:bCs/>
          <w:iCs/>
        </w:rPr>
        <w:t xml:space="preserve"> form part of the Boards draft financial plan which is due for </w:t>
      </w:r>
      <w:r w:rsidRPr="002E52E9">
        <w:rPr>
          <w:rFonts w:ascii="Arial" w:hAnsi="Arial" w:cs="Arial"/>
          <w:bCs/>
          <w:iCs/>
        </w:rPr>
        <w:lastRenderedPageBreak/>
        <w:t>subm</w:t>
      </w:r>
      <w:r w:rsidR="002E52E9" w:rsidRPr="002E52E9">
        <w:rPr>
          <w:rFonts w:ascii="Arial" w:hAnsi="Arial" w:cs="Arial"/>
          <w:bCs/>
          <w:iCs/>
        </w:rPr>
        <w:t xml:space="preserve">ission to </w:t>
      </w:r>
      <w:r w:rsidR="00FB0189">
        <w:rPr>
          <w:rFonts w:ascii="Arial" w:hAnsi="Arial" w:cs="Arial"/>
          <w:bCs/>
          <w:iCs/>
        </w:rPr>
        <w:t>the Scottish Government Health and Social Care Directorates (</w:t>
      </w:r>
      <w:r w:rsidR="002E52E9" w:rsidRPr="002E52E9">
        <w:rPr>
          <w:rFonts w:ascii="Arial" w:hAnsi="Arial" w:cs="Arial"/>
          <w:bCs/>
          <w:iCs/>
        </w:rPr>
        <w:t>SGHCD</w:t>
      </w:r>
      <w:r w:rsidR="00FB0189">
        <w:rPr>
          <w:rFonts w:ascii="Arial" w:hAnsi="Arial" w:cs="Arial"/>
          <w:bCs/>
          <w:iCs/>
        </w:rPr>
        <w:t>)</w:t>
      </w:r>
      <w:r w:rsidR="002E52E9" w:rsidRPr="002E52E9">
        <w:rPr>
          <w:rFonts w:ascii="Arial" w:hAnsi="Arial" w:cs="Arial"/>
          <w:bCs/>
          <w:iCs/>
        </w:rPr>
        <w:t xml:space="preserve"> in February 2018</w:t>
      </w:r>
      <w:r w:rsidRPr="002E52E9">
        <w:rPr>
          <w:rFonts w:ascii="Arial" w:hAnsi="Arial" w:cs="Arial"/>
          <w:bCs/>
          <w:iCs/>
        </w:rPr>
        <w:t>.</w:t>
      </w:r>
      <w:r w:rsidRPr="002E52E9">
        <w:rPr>
          <w:rFonts w:ascii="Arial" w:hAnsi="Arial" w:cs="Arial"/>
        </w:rPr>
        <w:t xml:space="preserve"> </w:t>
      </w:r>
    </w:p>
    <w:p w:rsidR="00B03BB8" w:rsidRPr="002E52E9" w:rsidRDefault="00B03BB8" w:rsidP="00B03BB8">
      <w:pPr>
        <w:rPr>
          <w:rFonts w:ascii="Arial" w:hAnsi="Arial" w:cs="Arial"/>
        </w:rPr>
      </w:pPr>
    </w:p>
    <w:p w:rsidR="00B03BB8" w:rsidRPr="002E52E9" w:rsidRDefault="00B03BB8" w:rsidP="00B03BB8">
      <w:pPr>
        <w:ind w:left="360"/>
        <w:rPr>
          <w:rFonts w:ascii="Arial" w:hAnsi="Arial"/>
        </w:rPr>
      </w:pPr>
      <w:r w:rsidRPr="002E52E9">
        <w:rPr>
          <w:rFonts w:ascii="Arial" w:hAnsi="Arial" w:cs="Arial"/>
        </w:rPr>
        <w:t>E</w:t>
      </w:r>
      <w:r w:rsidRPr="002E52E9">
        <w:rPr>
          <w:rFonts w:ascii="Arial" w:hAnsi="Arial"/>
        </w:rPr>
        <w:t>ach NHS Board is expected to meet their statutory financial targets. These are, effectively, three annual budget limits which must not be exceeded:</w:t>
      </w:r>
    </w:p>
    <w:p w:rsidR="00B03BB8" w:rsidRPr="002E52E9" w:rsidRDefault="00B03BB8" w:rsidP="00B03BB8">
      <w:pPr>
        <w:ind w:left="360"/>
        <w:rPr>
          <w:rFonts w:ascii="Arial" w:hAnsi="Arial" w:cs="Arial"/>
        </w:rPr>
      </w:pPr>
    </w:p>
    <w:p w:rsidR="00B03BB8" w:rsidRPr="002E52E9" w:rsidRDefault="00B03BB8" w:rsidP="00B03BB8">
      <w:pPr>
        <w:numPr>
          <w:ilvl w:val="0"/>
          <w:numId w:val="29"/>
        </w:numPr>
        <w:jc w:val="both"/>
        <w:rPr>
          <w:rFonts w:ascii="Arial" w:hAnsi="Arial"/>
        </w:rPr>
      </w:pPr>
      <w:r w:rsidRPr="002E52E9">
        <w:rPr>
          <w:rFonts w:ascii="Arial" w:hAnsi="Arial"/>
        </w:rPr>
        <w:t>Revenue Resource Limit – resource funding for net revenue expenditure allocated by the Scottish Government for ongoing operations</w:t>
      </w:r>
    </w:p>
    <w:p w:rsidR="00B03BB8" w:rsidRPr="002E52E9" w:rsidRDefault="00B03BB8" w:rsidP="00B03BB8">
      <w:pPr>
        <w:numPr>
          <w:ilvl w:val="0"/>
          <w:numId w:val="29"/>
        </w:numPr>
        <w:jc w:val="both"/>
        <w:rPr>
          <w:rFonts w:ascii="Arial" w:hAnsi="Arial"/>
        </w:rPr>
      </w:pPr>
      <w:r w:rsidRPr="002E52E9">
        <w:rPr>
          <w:rFonts w:ascii="Arial" w:hAnsi="Arial"/>
        </w:rPr>
        <w:t>Capital Resource Limit - resource funding for net capital expenditure allocated by the Scottish Government for investment in fixed assets</w:t>
      </w:r>
    </w:p>
    <w:p w:rsidR="00B03BB8" w:rsidRPr="002E52E9" w:rsidRDefault="00B03BB8" w:rsidP="00B03BB8">
      <w:pPr>
        <w:numPr>
          <w:ilvl w:val="0"/>
          <w:numId w:val="29"/>
        </w:numPr>
        <w:jc w:val="both"/>
        <w:rPr>
          <w:rFonts w:ascii="Arial" w:hAnsi="Arial"/>
        </w:rPr>
      </w:pPr>
      <w:r w:rsidRPr="002E52E9">
        <w:rPr>
          <w:rFonts w:ascii="Arial" w:hAnsi="Arial"/>
        </w:rPr>
        <w:t>Cash Requirement – cash required to fund the net payments for all ongoing operations and capital investment</w:t>
      </w:r>
    </w:p>
    <w:p w:rsidR="00B03BB8" w:rsidRPr="002E52E9" w:rsidRDefault="00B03BB8" w:rsidP="00B03BB8">
      <w:pPr>
        <w:rPr>
          <w:rFonts w:ascii="Arial" w:hAnsi="Arial" w:cs="Arial"/>
        </w:rPr>
      </w:pPr>
      <w:r w:rsidRPr="002E52E9">
        <w:rPr>
          <w:rFonts w:ascii="Arial" w:hAnsi="Arial"/>
        </w:rPr>
        <w:tab/>
      </w:r>
    </w:p>
    <w:p w:rsidR="00B03BB8" w:rsidRPr="002E52E9" w:rsidRDefault="00B03BB8" w:rsidP="00B03BB8">
      <w:pPr>
        <w:ind w:left="360"/>
        <w:rPr>
          <w:rFonts w:ascii="Arial" w:hAnsi="Arial" w:cs="Arial"/>
        </w:rPr>
      </w:pPr>
      <w:r w:rsidRPr="002E52E9">
        <w:rPr>
          <w:rFonts w:ascii="Arial" w:hAnsi="Arial" w:cs="Arial"/>
        </w:rPr>
        <w:t xml:space="preserve">The financial plans will cover a </w:t>
      </w:r>
      <w:r w:rsidR="002C21A8">
        <w:rPr>
          <w:rFonts w:ascii="Arial" w:hAnsi="Arial" w:cs="Arial"/>
        </w:rPr>
        <w:t xml:space="preserve">five </w:t>
      </w:r>
      <w:r w:rsidRPr="002E52E9">
        <w:rPr>
          <w:rFonts w:ascii="Arial" w:hAnsi="Arial" w:cs="Arial"/>
        </w:rPr>
        <w:t>year period</w:t>
      </w:r>
      <w:r w:rsidR="002E52E9" w:rsidRPr="002E52E9">
        <w:rPr>
          <w:rFonts w:ascii="Arial" w:hAnsi="Arial" w:cs="Arial"/>
        </w:rPr>
        <w:t xml:space="preserve"> to align with Regional and National </w:t>
      </w:r>
      <w:r w:rsidR="00FB0189">
        <w:rPr>
          <w:rFonts w:ascii="Arial" w:hAnsi="Arial" w:cs="Arial"/>
        </w:rPr>
        <w:t>D</w:t>
      </w:r>
      <w:r w:rsidR="002E52E9" w:rsidRPr="002E52E9">
        <w:rPr>
          <w:rFonts w:ascii="Arial" w:hAnsi="Arial" w:cs="Arial"/>
        </w:rPr>
        <w:t xml:space="preserve">elivery </w:t>
      </w:r>
      <w:r w:rsidR="00FB0189">
        <w:rPr>
          <w:rFonts w:ascii="Arial" w:hAnsi="Arial" w:cs="Arial"/>
        </w:rPr>
        <w:t>P</w:t>
      </w:r>
      <w:r w:rsidR="002E52E9" w:rsidRPr="002E52E9">
        <w:rPr>
          <w:rFonts w:ascii="Arial" w:hAnsi="Arial" w:cs="Arial"/>
        </w:rPr>
        <w:t>lans</w:t>
      </w:r>
      <w:r w:rsidR="00FB0189">
        <w:rPr>
          <w:rFonts w:ascii="Arial" w:hAnsi="Arial" w:cs="Arial"/>
        </w:rPr>
        <w:t>,</w:t>
      </w:r>
      <w:r w:rsidR="002E52E9">
        <w:rPr>
          <w:rFonts w:ascii="Arial" w:hAnsi="Arial" w:cs="Arial"/>
        </w:rPr>
        <w:t xml:space="preserve"> as requested by Scottish Government</w:t>
      </w:r>
      <w:r w:rsidR="00FB0189">
        <w:rPr>
          <w:rFonts w:ascii="Arial" w:hAnsi="Arial" w:cs="Arial"/>
        </w:rPr>
        <w:t>. I</w:t>
      </w:r>
      <w:r w:rsidR="002E52E9" w:rsidRPr="002E52E9">
        <w:rPr>
          <w:rFonts w:ascii="Arial" w:hAnsi="Arial" w:cs="Arial"/>
        </w:rPr>
        <w:t>n addition a</w:t>
      </w:r>
      <w:r w:rsidRPr="002E52E9">
        <w:rPr>
          <w:rFonts w:ascii="Arial" w:hAnsi="Arial" w:cs="Arial"/>
        </w:rPr>
        <w:t xml:space="preserve"> five year plan is required where any of the following apply:</w:t>
      </w:r>
    </w:p>
    <w:p w:rsidR="00B03BB8" w:rsidRPr="002E52E9" w:rsidRDefault="00B03BB8" w:rsidP="00B03BB8">
      <w:pPr>
        <w:ind w:left="360"/>
        <w:rPr>
          <w:rFonts w:ascii="Arial" w:hAnsi="Arial" w:cs="Arial"/>
        </w:rPr>
      </w:pPr>
    </w:p>
    <w:p w:rsidR="00B03BB8" w:rsidRPr="002E52E9" w:rsidRDefault="00B03BB8" w:rsidP="00642DCF">
      <w:pPr>
        <w:numPr>
          <w:ilvl w:val="0"/>
          <w:numId w:val="30"/>
        </w:numPr>
        <w:tabs>
          <w:tab w:val="left" w:pos="720"/>
          <w:tab w:val="left" w:pos="1440"/>
          <w:tab w:val="left" w:pos="2160"/>
          <w:tab w:val="left" w:pos="4680"/>
          <w:tab w:val="left" w:pos="5400"/>
          <w:tab w:val="right" w:pos="9000"/>
        </w:tabs>
        <w:spacing w:line="240" w:lineRule="atLeast"/>
        <w:jc w:val="both"/>
        <w:rPr>
          <w:rFonts w:ascii="Arial" w:hAnsi="Arial" w:cs="Arial"/>
        </w:rPr>
      </w:pPr>
      <w:r w:rsidRPr="002E52E9">
        <w:rPr>
          <w:rFonts w:ascii="Arial" w:hAnsi="Arial" w:cs="Arial"/>
        </w:rPr>
        <w:t>major infrastructure development,</w:t>
      </w:r>
    </w:p>
    <w:p w:rsidR="00B03BB8" w:rsidRPr="002E52E9" w:rsidRDefault="00B03BB8" w:rsidP="00B03BB8">
      <w:pPr>
        <w:numPr>
          <w:ilvl w:val="0"/>
          <w:numId w:val="30"/>
        </w:numPr>
        <w:tabs>
          <w:tab w:val="left" w:pos="720"/>
          <w:tab w:val="left" w:pos="1440"/>
          <w:tab w:val="left" w:pos="2160"/>
          <w:tab w:val="left" w:pos="4680"/>
          <w:tab w:val="left" w:pos="5400"/>
          <w:tab w:val="right" w:pos="9000"/>
        </w:tabs>
        <w:spacing w:line="240" w:lineRule="atLeast"/>
        <w:jc w:val="both"/>
        <w:rPr>
          <w:rFonts w:ascii="Arial" w:hAnsi="Arial" w:cs="Arial"/>
        </w:rPr>
      </w:pPr>
      <w:r w:rsidRPr="002E52E9">
        <w:rPr>
          <w:rFonts w:ascii="Arial" w:hAnsi="Arial" w:cs="Arial"/>
        </w:rPr>
        <w:t>brokerage arrangements are in place,</w:t>
      </w:r>
    </w:p>
    <w:p w:rsidR="00B03BB8" w:rsidRPr="002E52E9" w:rsidRDefault="00B03BB8" w:rsidP="00B03BB8">
      <w:pPr>
        <w:numPr>
          <w:ilvl w:val="0"/>
          <w:numId w:val="30"/>
        </w:numPr>
        <w:tabs>
          <w:tab w:val="left" w:pos="720"/>
          <w:tab w:val="left" w:pos="1440"/>
          <w:tab w:val="left" w:pos="2160"/>
          <w:tab w:val="left" w:pos="4680"/>
          <w:tab w:val="left" w:pos="5400"/>
          <w:tab w:val="right" w:pos="9000"/>
        </w:tabs>
        <w:spacing w:line="240" w:lineRule="atLeast"/>
        <w:jc w:val="both"/>
        <w:rPr>
          <w:rFonts w:ascii="Arial" w:hAnsi="Arial" w:cs="Arial"/>
        </w:rPr>
      </w:pPr>
      <w:r w:rsidRPr="002E52E9">
        <w:rPr>
          <w:rFonts w:ascii="Arial" w:hAnsi="Arial" w:cs="Arial"/>
        </w:rPr>
        <w:t>underlying deficit of over 1% of baseline resource funding,</w:t>
      </w:r>
    </w:p>
    <w:p w:rsidR="00B03BB8" w:rsidRPr="002E52E9" w:rsidRDefault="00B03BB8" w:rsidP="00B03BB8">
      <w:pPr>
        <w:numPr>
          <w:ilvl w:val="0"/>
          <w:numId w:val="30"/>
        </w:numPr>
        <w:tabs>
          <w:tab w:val="left" w:pos="720"/>
          <w:tab w:val="left" w:pos="1440"/>
          <w:tab w:val="left" w:pos="2160"/>
          <w:tab w:val="left" w:pos="4680"/>
          <w:tab w:val="left" w:pos="5400"/>
          <w:tab w:val="right" w:pos="9000"/>
        </w:tabs>
        <w:spacing w:line="240" w:lineRule="atLeast"/>
        <w:jc w:val="both"/>
        <w:rPr>
          <w:rFonts w:ascii="Arial" w:hAnsi="Arial" w:cs="Arial"/>
        </w:rPr>
      </w:pPr>
      <w:proofErr w:type="gramStart"/>
      <w:r w:rsidRPr="002E52E9">
        <w:rPr>
          <w:rFonts w:ascii="Arial" w:hAnsi="Arial" w:cs="Arial"/>
        </w:rPr>
        <w:t>major</w:t>
      </w:r>
      <w:proofErr w:type="gramEnd"/>
      <w:r w:rsidRPr="002E52E9">
        <w:rPr>
          <w:rFonts w:ascii="Arial" w:hAnsi="Arial" w:cs="Arial"/>
        </w:rPr>
        <w:t xml:space="preserve"> service redesign.</w:t>
      </w:r>
    </w:p>
    <w:p w:rsidR="00B03BB8" w:rsidRPr="002E52E9" w:rsidRDefault="00B03BB8" w:rsidP="00B03BB8">
      <w:pPr>
        <w:rPr>
          <w:rFonts w:ascii="Arial" w:hAnsi="Arial" w:cs="Arial"/>
        </w:rPr>
      </w:pPr>
    </w:p>
    <w:p w:rsidR="00A36E7F" w:rsidRDefault="00A36E7F" w:rsidP="00B03BB8">
      <w:pPr>
        <w:ind w:left="360"/>
        <w:rPr>
          <w:rFonts w:ascii="Arial" w:hAnsi="Arial" w:cs="Arial"/>
        </w:rPr>
      </w:pPr>
      <w:r>
        <w:rPr>
          <w:rFonts w:ascii="Arial" w:hAnsi="Arial" w:cs="Arial"/>
        </w:rPr>
        <w:t>The financial plan will also incorporate a 10 year capital and revenue plan reflecting the Board expansion plans.</w:t>
      </w:r>
    </w:p>
    <w:p w:rsidR="00A36E7F" w:rsidRDefault="00A36E7F" w:rsidP="00B03BB8">
      <w:pPr>
        <w:ind w:left="360"/>
        <w:rPr>
          <w:rFonts w:ascii="Arial" w:hAnsi="Arial" w:cs="Arial"/>
        </w:rPr>
      </w:pPr>
    </w:p>
    <w:p w:rsidR="00AE28C0" w:rsidRPr="00AE28C0" w:rsidRDefault="00A832D4" w:rsidP="00AE28C0">
      <w:pPr>
        <w:ind w:left="360"/>
        <w:rPr>
          <w:rFonts w:ascii="Arial" w:hAnsi="Arial" w:cs="Arial"/>
        </w:rPr>
      </w:pPr>
      <w:r>
        <w:rPr>
          <w:rFonts w:ascii="Arial" w:hAnsi="Arial" w:cs="Arial"/>
        </w:rPr>
        <w:t xml:space="preserve">The financial plan will </w:t>
      </w:r>
      <w:r w:rsidR="00AE28C0">
        <w:rPr>
          <w:rFonts w:ascii="Arial" w:hAnsi="Arial" w:cs="Arial"/>
        </w:rPr>
        <w:t xml:space="preserve">also </w:t>
      </w:r>
      <w:r>
        <w:rPr>
          <w:rFonts w:ascii="Arial" w:hAnsi="Arial" w:cs="Arial"/>
        </w:rPr>
        <w:t>incorporate the Scottish Government Pay Policy</w:t>
      </w:r>
      <w:r w:rsidR="00FB0189">
        <w:rPr>
          <w:rFonts w:ascii="Arial" w:hAnsi="Arial" w:cs="Arial"/>
        </w:rPr>
        <w:t>,</w:t>
      </w:r>
      <w:r>
        <w:rPr>
          <w:rFonts w:ascii="Arial" w:hAnsi="Arial" w:cs="Arial"/>
        </w:rPr>
        <w:t xml:space="preserve"> which recommends a 3% pay increase for public sector workers earning £30,000 or less and a cap of 2% on the increase pay bill for staff earning more than £30,000. There will be a cap on pay applied for highest paid, with a maximum cash increase of £1,600 for those earning above £80,000.</w:t>
      </w:r>
      <w:r w:rsidR="00AE28C0">
        <w:rPr>
          <w:rFonts w:ascii="Arial" w:hAnsi="Arial" w:cs="Arial"/>
        </w:rPr>
        <w:t xml:space="preserve"> </w:t>
      </w:r>
      <w:r w:rsidR="001405EA" w:rsidRPr="001405EA">
        <w:rPr>
          <w:rFonts w:ascii="Arial" w:hAnsi="Arial" w:cs="Arial"/>
        </w:rPr>
        <w:t xml:space="preserve">The </w:t>
      </w:r>
      <w:r w:rsidR="00AE28C0">
        <w:rPr>
          <w:rFonts w:ascii="Arial" w:hAnsi="Arial" w:cs="Arial"/>
        </w:rPr>
        <w:t xml:space="preserve">final </w:t>
      </w:r>
      <w:r w:rsidR="001405EA" w:rsidRPr="001405EA">
        <w:rPr>
          <w:rFonts w:ascii="Arial" w:hAnsi="Arial" w:cs="Arial"/>
        </w:rPr>
        <w:t>pay settlement for NHS staff will of course be subject to the NHS pay reviews process</w:t>
      </w:r>
      <w:r w:rsidR="00FB0189">
        <w:rPr>
          <w:rFonts w:ascii="Arial" w:hAnsi="Arial" w:cs="Arial"/>
        </w:rPr>
        <w:t>,</w:t>
      </w:r>
      <w:r w:rsidR="001405EA" w:rsidRPr="001405EA">
        <w:rPr>
          <w:rFonts w:ascii="Arial" w:hAnsi="Arial" w:cs="Arial"/>
        </w:rPr>
        <w:t xml:space="preserve"> as in previous years.</w:t>
      </w:r>
    </w:p>
    <w:p w:rsidR="00A36E7F" w:rsidRDefault="00A36E7F" w:rsidP="00B03BB8">
      <w:pPr>
        <w:ind w:left="360"/>
        <w:rPr>
          <w:rFonts w:ascii="Arial" w:hAnsi="Arial" w:cs="Arial"/>
        </w:rPr>
      </w:pPr>
    </w:p>
    <w:p w:rsidR="00A36E7F" w:rsidRDefault="00A36E7F" w:rsidP="00FB0189">
      <w:pPr>
        <w:ind w:left="360"/>
        <w:rPr>
          <w:rFonts w:ascii="Arial" w:hAnsi="Arial" w:cs="Arial"/>
        </w:rPr>
      </w:pPr>
      <w:r>
        <w:rPr>
          <w:rFonts w:ascii="Arial" w:hAnsi="Arial" w:cs="Arial"/>
        </w:rPr>
        <w:t>The Scottish Budget announced in Decembe</w:t>
      </w:r>
      <w:r w:rsidR="00FB0189">
        <w:rPr>
          <w:rFonts w:ascii="Arial" w:hAnsi="Arial" w:cs="Arial"/>
        </w:rPr>
        <w:t xml:space="preserve">r reflects the commitment that </w:t>
      </w:r>
      <w:r w:rsidRPr="00A36E7F">
        <w:rPr>
          <w:rFonts w:ascii="Arial" w:hAnsi="Arial" w:cs="Arial"/>
        </w:rPr>
        <w:t xml:space="preserve">more than half of frontline spending will be in community health services by the end of this parliament. The </w:t>
      </w:r>
      <w:r>
        <w:rPr>
          <w:rFonts w:ascii="Arial" w:hAnsi="Arial" w:cs="Arial"/>
        </w:rPr>
        <w:t>2018</w:t>
      </w:r>
      <w:r w:rsidR="00FB0189">
        <w:rPr>
          <w:rFonts w:ascii="Arial" w:hAnsi="Arial" w:cs="Arial"/>
        </w:rPr>
        <w:t>/</w:t>
      </w:r>
      <w:r>
        <w:rPr>
          <w:rFonts w:ascii="Arial" w:hAnsi="Arial" w:cs="Arial"/>
        </w:rPr>
        <w:t>1</w:t>
      </w:r>
      <w:r w:rsidR="005E18EA">
        <w:rPr>
          <w:rFonts w:ascii="Arial" w:hAnsi="Arial" w:cs="Arial"/>
        </w:rPr>
        <w:t>9</w:t>
      </w:r>
      <w:r>
        <w:rPr>
          <w:rFonts w:ascii="Arial" w:hAnsi="Arial" w:cs="Arial"/>
        </w:rPr>
        <w:t xml:space="preserve"> funding </w:t>
      </w:r>
      <w:r w:rsidRPr="00A36E7F">
        <w:rPr>
          <w:rFonts w:ascii="Arial" w:hAnsi="Arial" w:cs="Arial"/>
        </w:rPr>
        <w:t xml:space="preserve">is designed to support a further shift in the share of the frontline NHS budget dedicated to mental health and to primary, community and social care. </w:t>
      </w:r>
      <w:r>
        <w:rPr>
          <w:rFonts w:ascii="Arial" w:hAnsi="Arial" w:cs="Arial"/>
        </w:rPr>
        <w:t xml:space="preserve">It is expected that </w:t>
      </w:r>
      <w:r w:rsidRPr="00A36E7F">
        <w:rPr>
          <w:rFonts w:ascii="Arial" w:hAnsi="Arial" w:cs="Arial"/>
        </w:rPr>
        <w:t>NHS Boards and Integration Authorities contribute to this Programme for Government commitment and it</w:t>
      </w:r>
      <w:r>
        <w:rPr>
          <w:rFonts w:ascii="Arial" w:hAnsi="Arial" w:cs="Arial"/>
        </w:rPr>
        <w:t xml:space="preserve"> </w:t>
      </w:r>
      <w:r w:rsidRPr="00A36E7F">
        <w:rPr>
          <w:rFonts w:ascii="Arial" w:hAnsi="Arial" w:cs="Arial"/>
        </w:rPr>
        <w:t xml:space="preserve">will be essential that this is clearly evidenced as part of plans for </w:t>
      </w:r>
      <w:r w:rsidR="00FB0189">
        <w:rPr>
          <w:rFonts w:ascii="Arial" w:hAnsi="Arial" w:cs="Arial"/>
        </w:rPr>
        <w:t>2018/19</w:t>
      </w:r>
      <w:r w:rsidRPr="00A36E7F">
        <w:rPr>
          <w:rFonts w:ascii="Arial" w:hAnsi="Arial" w:cs="Arial"/>
        </w:rPr>
        <w:t>.</w:t>
      </w:r>
      <w:r>
        <w:rPr>
          <w:rFonts w:ascii="Arial" w:hAnsi="Arial" w:cs="Arial"/>
        </w:rPr>
        <w:t xml:space="preserve"> Whilst this is not directly relevant to this Board all opportunities to support this will be included within the Board financial and local delivery plans.</w:t>
      </w:r>
    </w:p>
    <w:p w:rsidR="00A36E7F" w:rsidRDefault="00A36E7F" w:rsidP="00A36E7F">
      <w:pPr>
        <w:ind w:left="360"/>
        <w:rPr>
          <w:rFonts w:ascii="Arial" w:hAnsi="Arial" w:cs="Arial"/>
        </w:rPr>
      </w:pPr>
    </w:p>
    <w:p w:rsidR="00A36E7F" w:rsidRDefault="00A36E7F" w:rsidP="00A36E7F">
      <w:pPr>
        <w:ind w:left="360"/>
        <w:rPr>
          <w:rFonts w:ascii="Arial" w:hAnsi="Arial" w:cs="Arial"/>
        </w:rPr>
      </w:pPr>
      <w:r>
        <w:rPr>
          <w:rFonts w:ascii="Arial" w:hAnsi="Arial" w:cs="Arial"/>
        </w:rPr>
        <w:t xml:space="preserve">The other key points from the </w:t>
      </w:r>
      <w:r w:rsidR="00AE28C0">
        <w:rPr>
          <w:rFonts w:ascii="Arial" w:hAnsi="Arial" w:cs="Arial"/>
        </w:rPr>
        <w:t xml:space="preserve">Scottish </w:t>
      </w:r>
      <w:r>
        <w:rPr>
          <w:rFonts w:ascii="Arial" w:hAnsi="Arial" w:cs="Arial"/>
        </w:rPr>
        <w:t>budget announced that require to be re</w:t>
      </w:r>
      <w:r w:rsidR="002C0196">
        <w:rPr>
          <w:rFonts w:ascii="Arial" w:hAnsi="Arial" w:cs="Arial"/>
        </w:rPr>
        <w:t>f</w:t>
      </w:r>
      <w:r>
        <w:rPr>
          <w:rFonts w:ascii="Arial" w:hAnsi="Arial" w:cs="Arial"/>
        </w:rPr>
        <w:t>lected within the Board financial plans for 2018/19 are:</w:t>
      </w:r>
    </w:p>
    <w:p w:rsidR="00A36E7F" w:rsidRDefault="00A36E7F" w:rsidP="00A36E7F">
      <w:pPr>
        <w:ind w:left="360"/>
        <w:rPr>
          <w:rFonts w:ascii="Arial" w:hAnsi="Arial" w:cs="Arial"/>
        </w:rPr>
      </w:pPr>
    </w:p>
    <w:p w:rsidR="002C0196" w:rsidRPr="002C0196" w:rsidRDefault="001405EA" w:rsidP="00642DCF">
      <w:pPr>
        <w:pStyle w:val="ListParagraph"/>
        <w:numPr>
          <w:ilvl w:val="0"/>
          <w:numId w:val="33"/>
        </w:numPr>
        <w:ind w:left="1134"/>
        <w:rPr>
          <w:rFonts w:ascii="Arial" w:hAnsi="Arial" w:cs="Arial"/>
        </w:rPr>
      </w:pPr>
      <w:r w:rsidRPr="002C0196">
        <w:rPr>
          <w:rFonts w:ascii="Arial" w:hAnsi="Arial" w:cs="Arial"/>
          <w:sz w:val="24"/>
          <w:szCs w:val="24"/>
        </w:rPr>
        <w:t xml:space="preserve">Similar to the other national </w:t>
      </w:r>
      <w:r w:rsidR="00300E35" w:rsidRPr="002C0196">
        <w:rPr>
          <w:rFonts w:ascii="Arial" w:hAnsi="Arial" w:cs="Arial"/>
          <w:sz w:val="24"/>
          <w:szCs w:val="24"/>
        </w:rPr>
        <w:t>‘</w:t>
      </w:r>
      <w:r w:rsidRPr="002C0196">
        <w:rPr>
          <w:rFonts w:ascii="Arial" w:hAnsi="Arial" w:cs="Arial"/>
          <w:sz w:val="24"/>
          <w:szCs w:val="24"/>
        </w:rPr>
        <w:t>patient facing</w:t>
      </w:r>
      <w:r w:rsidR="00300E35" w:rsidRPr="002C0196">
        <w:rPr>
          <w:rFonts w:ascii="Arial" w:hAnsi="Arial" w:cs="Arial"/>
          <w:sz w:val="24"/>
          <w:szCs w:val="24"/>
        </w:rPr>
        <w:t>’</w:t>
      </w:r>
      <w:r w:rsidRPr="002C0196">
        <w:rPr>
          <w:rFonts w:ascii="Arial" w:hAnsi="Arial" w:cs="Arial"/>
          <w:sz w:val="24"/>
          <w:szCs w:val="24"/>
        </w:rPr>
        <w:t xml:space="preserve"> Boards the Golden Jubilee will receive an uplift of 1%</w:t>
      </w:r>
    </w:p>
    <w:p w:rsidR="005E18EA" w:rsidRDefault="001405EA" w:rsidP="00642DCF">
      <w:pPr>
        <w:pStyle w:val="ListParagraph"/>
        <w:numPr>
          <w:ilvl w:val="0"/>
          <w:numId w:val="33"/>
        </w:numPr>
        <w:ind w:left="1134"/>
        <w:rPr>
          <w:rFonts w:ascii="Arial" w:hAnsi="Arial" w:cs="Arial"/>
        </w:rPr>
      </w:pPr>
      <w:r>
        <w:rPr>
          <w:rFonts w:ascii="Arial" w:hAnsi="Arial" w:cs="Arial"/>
          <w:sz w:val="24"/>
          <w:szCs w:val="24"/>
        </w:rPr>
        <w:lastRenderedPageBreak/>
        <w:t xml:space="preserve">The National Board savings requirement of £15 million in 2017-18 will be made recurring in </w:t>
      </w:r>
      <w:r w:rsidR="00FB0189">
        <w:rPr>
          <w:rFonts w:ascii="Arial" w:hAnsi="Arial" w:cs="Arial"/>
          <w:sz w:val="24"/>
          <w:szCs w:val="24"/>
        </w:rPr>
        <w:t>2018/19</w:t>
      </w:r>
      <w:r w:rsidR="002C0196">
        <w:rPr>
          <w:rFonts w:ascii="Arial" w:hAnsi="Arial" w:cs="Arial"/>
          <w:sz w:val="24"/>
          <w:szCs w:val="24"/>
        </w:rPr>
        <w:t>;</w:t>
      </w:r>
      <w:r w:rsidR="00AE28C0">
        <w:rPr>
          <w:rFonts w:ascii="Arial" w:hAnsi="Arial" w:cs="Arial"/>
          <w:sz w:val="24"/>
          <w:szCs w:val="24"/>
        </w:rPr>
        <w:t xml:space="preserve"> the allocation of this </w:t>
      </w:r>
      <w:r w:rsidRPr="001405EA">
        <w:rPr>
          <w:rFonts w:ascii="Arial" w:hAnsi="Arial" w:cs="Arial"/>
          <w:sz w:val="24"/>
          <w:szCs w:val="24"/>
        </w:rPr>
        <w:t>will be agreed in advance of the new financial year.</w:t>
      </w:r>
    </w:p>
    <w:p w:rsidR="00FB0189" w:rsidRDefault="00300E35" w:rsidP="00FB0189">
      <w:pPr>
        <w:ind w:left="284"/>
        <w:rPr>
          <w:rFonts w:ascii="Arial" w:hAnsi="Arial" w:cs="Arial"/>
        </w:rPr>
      </w:pPr>
      <w:r>
        <w:rPr>
          <w:rFonts w:ascii="Arial" w:hAnsi="Arial" w:cs="Arial"/>
        </w:rPr>
        <w:t xml:space="preserve">A total of £303m has been identified for reform, this is an increase of £175m on last year and includes a </w:t>
      </w:r>
      <w:r w:rsidRPr="00300E35">
        <w:rPr>
          <w:rFonts w:ascii="Arial" w:hAnsi="Arial" w:cs="Arial"/>
        </w:rPr>
        <w:t xml:space="preserve">transformational change fund of £126 million </w:t>
      </w:r>
      <w:r>
        <w:rPr>
          <w:rFonts w:ascii="Arial" w:hAnsi="Arial" w:cs="Arial"/>
        </w:rPr>
        <w:t>to</w:t>
      </w:r>
      <w:r w:rsidRPr="00300E35">
        <w:rPr>
          <w:rFonts w:ascii="Arial" w:hAnsi="Arial" w:cs="Arial"/>
        </w:rPr>
        <w:t xml:space="preserve"> support the regional delivery plans for implementation of new service delivery models, improved elective performance and</w:t>
      </w:r>
      <w:r>
        <w:rPr>
          <w:rFonts w:ascii="Arial" w:hAnsi="Arial" w:cs="Arial"/>
        </w:rPr>
        <w:t xml:space="preserve"> </w:t>
      </w:r>
      <w:r w:rsidRPr="00300E35">
        <w:rPr>
          <w:rFonts w:ascii="Arial" w:hAnsi="Arial" w:cs="Arial"/>
        </w:rPr>
        <w:t>inves</w:t>
      </w:r>
      <w:r>
        <w:rPr>
          <w:rFonts w:ascii="Arial" w:hAnsi="Arial" w:cs="Arial"/>
        </w:rPr>
        <w:t xml:space="preserve">tment in our digital capability. This is an increase of £101m in this financial year.  The balance of the increase </w:t>
      </w:r>
      <w:r w:rsidR="00AE28C0">
        <w:rPr>
          <w:rFonts w:ascii="Arial" w:hAnsi="Arial" w:cs="Arial"/>
        </w:rPr>
        <w:t xml:space="preserve">of £74m is planned to support </w:t>
      </w:r>
      <w:r>
        <w:rPr>
          <w:rFonts w:ascii="Arial" w:hAnsi="Arial" w:cs="Arial"/>
        </w:rPr>
        <w:t>investment in mental health, trauma networks, primary care and cancer</w:t>
      </w:r>
      <w:r w:rsidR="00AE28C0">
        <w:rPr>
          <w:rFonts w:ascii="Arial" w:hAnsi="Arial" w:cs="Arial"/>
        </w:rPr>
        <w:t>. The table below summarises this:</w:t>
      </w:r>
    </w:p>
    <w:p w:rsidR="00A03F67" w:rsidRDefault="00A03F67" w:rsidP="00FB0189">
      <w:pPr>
        <w:ind w:left="284"/>
        <w:rPr>
          <w:rFonts w:ascii="Arial" w:hAnsi="Arial" w:cs="Arial"/>
        </w:rPr>
      </w:pPr>
    </w:p>
    <w:tbl>
      <w:tblPr>
        <w:tblStyle w:val="TableGrid"/>
        <w:tblW w:w="8894" w:type="dxa"/>
        <w:jc w:val="center"/>
        <w:tblInd w:w="4279" w:type="dxa"/>
        <w:tblLook w:val="04A0"/>
      </w:tblPr>
      <w:tblGrid>
        <w:gridCol w:w="4235"/>
        <w:gridCol w:w="1351"/>
        <w:gridCol w:w="1351"/>
        <w:gridCol w:w="1957"/>
      </w:tblGrid>
      <w:tr w:rsidR="00AE28C0" w:rsidRPr="00CB59BF" w:rsidTr="00FB0189">
        <w:trPr>
          <w:jc w:val="center"/>
        </w:trPr>
        <w:tc>
          <w:tcPr>
            <w:tcW w:w="4235" w:type="dxa"/>
          </w:tcPr>
          <w:p w:rsidR="00AE28C0" w:rsidRPr="00CB59BF" w:rsidRDefault="00AE28C0" w:rsidP="00AE28C0">
            <w:pPr>
              <w:contextualSpacing/>
              <w:rPr>
                <w:rFonts w:ascii="Arial" w:hAnsi="Arial" w:cs="Arial"/>
              </w:rPr>
            </w:pPr>
          </w:p>
        </w:tc>
        <w:tc>
          <w:tcPr>
            <w:tcW w:w="1351" w:type="dxa"/>
          </w:tcPr>
          <w:p w:rsidR="00AE28C0" w:rsidRPr="00CB59BF" w:rsidRDefault="00AE28C0" w:rsidP="00AE28C0">
            <w:pPr>
              <w:contextualSpacing/>
              <w:jc w:val="right"/>
              <w:rPr>
                <w:rFonts w:ascii="Arial" w:hAnsi="Arial" w:cs="Arial"/>
              </w:rPr>
            </w:pPr>
            <w:r w:rsidRPr="00CB59BF">
              <w:rPr>
                <w:rFonts w:ascii="Arial" w:hAnsi="Arial" w:cs="Arial"/>
              </w:rPr>
              <w:t>2017/2018</w:t>
            </w:r>
          </w:p>
        </w:tc>
        <w:tc>
          <w:tcPr>
            <w:tcW w:w="1351" w:type="dxa"/>
          </w:tcPr>
          <w:p w:rsidR="00AE28C0" w:rsidRPr="00CB59BF" w:rsidRDefault="00AE28C0" w:rsidP="00AE28C0">
            <w:pPr>
              <w:contextualSpacing/>
              <w:jc w:val="right"/>
              <w:rPr>
                <w:rFonts w:ascii="Arial" w:hAnsi="Arial" w:cs="Arial"/>
              </w:rPr>
            </w:pPr>
            <w:r w:rsidRPr="00CB59BF">
              <w:rPr>
                <w:rFonts w:ascii="Arial" w:hAnsi="Arial" w:cs="Arial"/>
              </w:rPr>
              <w:t xml:space="preserve">2018/2019 </w:t>
            </w:r>
          </w:p>
        </w:tc>
        <w:tc>
          <w:tcPr>
            <w:tcW w:w="1957" w:type="dxa"/>
          </w:tcPr>
          <w:p w:rsidR="00AE28C0" w:rsidRPr="00CB59BF" w:rsidRDefault="00AE28C0" w:rsidP="00AE28C0">
            <w:pPr>
              <w:contextualSpacing/>
              <w:jc w:val="right"/>
              <w:rPr>
                <w:rFonts w:ascii="Arial" w:hAnsi="Arial" w:cs="Arial"/>
              </w:rPr>
            </w:pPr>
            <w:r w:rsidRPr="00CB59BF">
              <w:rPr>
                <w:rFonts w:ascii="Arial" w:hAnsi="Arial" w:cs="Arial"/>
              </w:rPr>
              <w:t>Increase for 2018/2019</w:t>
            </w:r>
          </w:p>
        </w:tc>
      </w:tr>
      <w:tr w:rsidR="00AE28C0" w:rsidTr="00FB0189">
        <w:trPr>
          <w:jc w:val="center"/>
        </w:trPr>
        <w:tc>
          <w:tcPr>
            <w:tcW w:w="4235" w:type="dxa"/>
          </w:tcPr>
          <w:p w:rsidR="00AE28C0" w:rsidRDefault="00AE28C0" w:rsidP="00AE28C0">
            <w:pPr>
              <w:contextualSpacing/>
              <w:rPr>
                <w:rFonts w:ascii="Arial" w:hAnsi="Arial" w:cs="Arial"/>
              </w:rPr>
            </w:pPr>
            <w:r>
              <w:rPr>
                <w:rFonts w:ascii="Arial" w:hAnsi="Arial" w:cs="Arial"/>
              </w:rPr>
              <w:t>Transformational Change Fund</w:t>
            </w:r>
          </w:p>
        </w:tc>
        <w:tc>
          <w:tcPr>
            <w:tcW w:w="1351" w:type="dxa"/>
          </w:tcPr>
          <w:p w:rsidR="00AE28C0" w:rsidRDefault="00AE28C0" w:rsidP="00AE28C0">
            <w:pPr>
              <w:contextualSpacing/>
              <w:jc w:val="right"/>
              <w:rPr>
                <w:rFonts w:ascii="Arial" w:hAnsi="Arial" w:cs="Arial"/>
              </w:rPr>
            </w:pPr>
            <w:r>
              <w:rPr>
                <w:rFonts w:ascii="Arial" w:hAnsi="Arial" w:cs="Arial"/>
              </w:rPr>
              <w:t>£25m</w:t>
            </w:r>
          </w:p>
        </w:tc>
        <w:tc>
          <w:tcPr>
            <w:tcW w:w="1351" w:type="dxa"/>
          </w:tcPr>
          <w:p w:rsidR="00AE28C0" w:rsidRDefault="00AE28C0" w:rsidP="00AE28C0">
            <w:pPr>
              <w:contextualSpacing/>
              <w:jc w:val="right"/>
              <w:rPr>
                <w:rFonts w:ascii="Arial" w:hAnsi="Arial" w:cs="Arial"/>
              </w:rPr>
            </w:pPr>
            <w:r>
              <w:rPr>
                <w:rFonts w:ascii="Arial" w:hAnsi="Arial" w:cs="Arial"/>
              </w:rPr>
              <w:t>£126m</w:t>
            </w:r>
          </w:p>
        </w:tc>
        <w:tc>
          <w:tcPr>
            <w:tcW w:w="1957" w:type="dxa"/>
          </w:tcPr>
          <w:p w:rsidR="00AE28C0" w:rsidRDefault="00AE28C0" w:rsidP="00AE28C0">
            <w:pPr>
              <w:contextualSpacing/>
              <w:jc w:val="right"/>
              <w:rPr>
                <w:rFonts w:ascii="Arial" w:hAnsi="Arial" w:cs="Arial"/>
              </w:rPr>
            </w:pPr>
            <w:r>
              <w:rPr>
                <w:rFonts w:ascii="Arial" w:hAnsi="Arial" w:cs="Arial"/>
              </w:rPr>
              <w:t>£101m</w:t>
            </w:r>
          </w:p>
        </w:tc>
      </w:tr>
      <w:tr w:rsidR="00AE28C0" w:rsidTr="00FB0189">
        <w:trPr>
          <w:jc w:val="center"/>
        </w:trPr>
        <w:tc>
          <w:tcPr>
            <w:tcW w:w="4235" w:type="dxa"/>
          </w:tcPr>
          <w:p w:rsidR="00AE28C0" w:rsidRDefault="00AE28C0" w:rsidP="00AE28C0">
            <w:pPr>
              <w:contextualSpacing/>
              <w:rPr>
                <w:rFonts w:ascii="Arial" w:hAnsi="Arial" w:cs="Arial"/>
              </w:rPr>
            </w:pPr>
            <w:r>
              <w:rPr>
                <w:rFonts w:ascii="Arial" w:hAnsi="Arial" w:cs="Arial"/>
              </w:rPr>
              <w:t>Primary Care Fund</w:t>
            </w:r>
          </w:p>
        </w:tc>
        <w:tc>
          <w:tcPr>
            <w:tcW w:w="1351" w:type="dxa"/>
          </w:tcPr>
          <w:p w:rsidR="00AE28C0" w:rsidRDefault="00AE28C0" w:rsidP="00AE28C0">
            <w:pPr>
              <w:contextualSpacing/>
              <w:jc w:val="right"/>
              <w:rPr>
                <w:rFonts w:ascii="Arial" w:hAnsi="Arial" w:cs="Arial"/>
              </w:rPr>
            </w:pPr>
            <w:r>
              <w:rPr>
                <w:rFonts w:ascii="Arial" w:hAnsi="Arial" w:cs="Arial"/>
              </w:rPr>
              <w:t>£60m</w:t>
            </w:r>
          </w:p>
        </w:tc>
        <w:tc>
          <w:tcPr>
            <w:tcW w:w="1351" w:type="dxa"/>
          </w:tcPr>
          <w:p w:rsidR="00AE28C0" w:rsidRDefault="00AE28C0" w:rsidP="00AE28C0">
            <w:pPr>
              <w:contextualSpacing/>
              <w:jc w:val="right"/>
              <w:rPr>
                <w:rFonts w:ascii="Arial" w:hAnsi="Arial" w:cs="Arial"/>
              </w:rPr>
            </w:pPr>
            <w:r>
              <w:rPr>
                <w:rFonts w:ascii="Arial" w:hAnsi="Arial" w:cs="Arial"/>
              </w:rPr>
              <w:t>£110m</w:t>
            </w:r>
          </w:p>
        </w:tc>
        <w:tc>
          <w:tcPr>
            <w:tcW w:w="1957" w:type="dxa"/>
          </w:tcPr>
          <w:p w:rsidR="00AE28C0" w:rsidRDefault="00AE28C0" w:rsidP="00AE28C0">
            <w:pPr>
              <w:contextualSpacing/>
              <w:jc w:val="right"/>
              <w:rPr>
                <w:rFonts w:ascii="Arial" w:hAnsi="Arial" w:cs="Arial"/>
              </w:rPr>
            </w:pPr>
            <w:r>
              <w:rPr>
                <w:rFonts w:ascii="Arial" w:hAnsi="Arial" w:cs="Arial"/>
              </w:rPr>
              <w:t>£50m</w:t>
            </w:r>
          </w:p>
        </w:tc>
      </w:tr>
      <w:tr w:rsidR="00AE28C0" w:rsidTr="00FB0189">
        <w:trPr>
          <w:jc w:val="center"/>
        </w:trPr>
        <w:tc>
          <w:tcPr>
            <w:tcW w:w="4235" w:type="dxa"/>
          </w:tcPr>
          <w:p w:rsidR="00AE28C0" w:rsidRDefault="00AE28C0" w:rsidP="00AE28C0">
            <w:pPr>
              <w:contextualSpacing/>
              <w:rPr>
                <w:rFonts w:ascii="Arial" w:hAnsi="Arial" w:cs="Arial"/>
              </w:rPr>
            </w:pPr>
            <w:r>
              <w:rPr>
                <w:rFonts w:ascii="Arial" w:hAnsi="Arial" w:cs="Arial"/>
              </w:rPr>
              <w:t>Mental Health Fund</w:t>
            </w:r>
          </w:p>
        </w:tc>
        <w:tc>
          <w:tcPr>
            <w:tcW w:w="1351" w:type="dxa"/>
          </w:tcPr>
          <w:p w:rsidR="00AE28C0" w:rsidRDefault="00AE28C0" w:rsidP="00AE28C0">
            <w:pPr>
              <w:contextualSpacing/>
              <w:jc w:val="right"/>
              <w:rPr>
                <w:rFonts w:ascii="Arial" w:hAnsi="Arial" w:cs="Arial"/>
              </w:rPr>
            </w:pPr>
            <w:r>
              <w:rPr>
                <w:rFonts w:ascii="Arial" w:hAnsi="Arial" w:cs="Arial"/>
              </w:rPr>
              <w:t>£30m</w:t>
            </w:r>
          </w:p>
        </w:tc>
        <w:tc>
          <w:tcPr>
            <w:tcW w:w="1351" w:type="dxa"/>
          </w:tcPr>
          <w:p w:rsidR="00AE28C0" w:rsidRDefault="00AE28C0" w:rsidP="00AE28C0">
            <w:pPr>
              <w:contextualSpacing/>
              <w:jc w:val="right"/>
              <w:rPr>
                <w:rFonts w:ascii="Arial" w:hAnsi="Arial" w:cs="Arial"/>
              </w:rPr>
            </w:pPr>
            <w:r>
              <w:rPr>
                <w:rFonts w:ascii="Arial" w:hAnsi="Arial" w:cs="Arial"/>
              </w:rPr>
              <w:t>£47m</w:t>
            </w:r>
          </w:p>
        </w:tc>
        <w:tc>
          <w:tcPr>
            <w:tcW w:w="1957" w:type="dxa"/>
          </w:tcPr>
          <w:p w:rsidR="00AE28C0" w:rsidRDefault="00AE28C0" w:rsidP="00AE28C0">
            <w:pPr>
              <w:contextualSpacing/>
              <w:jc w:val="right"/>
              <w:rPr>
                <w:rFonts w:ascii="Arial" w:hAnsi="Arial" w:cs="Arial"/>
              </w:rPr>
            </w:pPr>
            <w:r>
              <w:rPr>
                <w:rFonts w:ascii="Arial" w:hAnsi="Arial" w:cs="Arial"/>
              </w:rPr>
              <w:t>£17m</w:t>
            </w:r>
          </w:p>
        </w:tc>
      </w:tr>
      <w:tr w:rsidR="00AE28C0" w:rsidTr="00FB0189">
        <w:trPr>
          <w:jc w:val="center"/>
        </w:trPr>
        <w:tc>
          <w:tcPr>
            <w:tcW w:w="4235" w:type="dxa"/>
          </w:tcPr>
          <w:p w:rsidR="00AE28C0" w:rsidRDefault="00AE28C0" w:rsidP="00AE28C0">
            <w:pPr>
              <w:contextualSpacing/>
              <w:rPr>
                <w:rFonts w:ascii="Arial" w:hAnsi="Arial" w:cs="Arial"/>
              </w:rPr>
            </w:pPr>
            <w:r>
              <w:rPr>
                <w:rFonts w:ascii="Arial" w:hAnsi="Arial" w:cs="Arial"/>
              </w:rPr>
              <w:t>Trauma Networks</w:t>
            </w:r>
          </w:p>
        </w:tc>
        <w:tc>
          <w:tcPr>
            <w:tcW w:w="1351" w:type="dxa"/>
          </w:tcPr>
          <w:p w:rsidR="00AE28C0" w:rsidRDefault="00AE28C0" w:rsidP="00AE28C0">
            <w:pPr>
              <w:contextualSpacing/>
              <w:jc w:val="right"/>
              <w:rPr>
                <w:rFonts w:ascii="Arial" w:hAnsi="Arial" w:cs="Arial"/>
              </w:rPr>
            </w:pPr>
            <w:r>
              <w:rPr>
                <w:rFonts w:ascii="Arial" w:hAnsi="Arial" w:cs="Arial"/>
              </w:rPr>
              <w:t>£5m</w:t>
            </w:r>
          </w:p>
        </w:tc>
        <w:tc>
          <w:tcPr>
            <w:tcW w:w="1351" w:type="dxa"/>
          </w:tcPr>
          <w:p w:rsidR="00AE28C0" w:rsidRDefault="00AE28C0" w:rsidP="00AE28C0">
            <w:pPr>
              <w:contextualSpacing/>
              <w:jc w:val="right"/>
              <w:rPr>
                <w:rFonts w:ascii="Arial" w:hAnsi="Arial" w:cs="Arial"/>
              </w:rPr>
            </w:pPr>
            <w:r>
              <w:rPr>
                <w:rFonts w:ascii="Arial" w:hAnsi="Arial" w:cs="Arial"/>
              </w:rPr>
              <w:t>£10m</w:t>
            </w:r>
          </w:p>
        </w:tc>
        <w:tc>
          <w:tcPr>
            <w:tcW w:w="1957" w:type="dxa"/>
          </w:tcPr>
          <w:p w:rsidR="00AE28C0" w:rsidRDefault="00AE28C0" w:rsidP="00AE28C0">
            <w:pPr>
              <w:contextualSpacing/>
              <w:jc w:val="right"/>
              <w:rPr>
                <w:rFonts w:ascii="Arial" w:hAnsi="Arial" w:cs="Arial"/>
              </w:rPr>
            </w:pPr>
            <w:r>
              <w:rPr>
                <w:rFonts w:ascii="Arial" w:hAnsi="Arial" w:cs="Arial"/>
              </w:rPr>
              <w:t>£5m</w:t>
            </w:r>
          </w:p>
        </w:tc>
      </w:tr>
      <w:tr w:rsidR="00AE28C0" w:rsidTr="00FB0189">
        <w:trPr>
          <w:jc w:val="center"/>
        </w:trPr>
        <w:tc>
          <w:tcPr>
            <w:tcW w:w="4235" w:type="dxa"/>
          </w:tcPr>
          <w:p w:rsidR="00AE28C0" w:rsidRDefault="00AE28C0" w:rsidP="00AE28C0">
            <w:pPr>
              <w:contextualSpacing/>
              <w:rPr>
                <w:rFonts w:ascii="Arial" w:hAnsi="Arial" w:cs="Arial"/>
              </w:rPr>
            </w:pPr>
            <w:r>
              <w:rPr>
                <w:rFonts w:ascii="Arial" w:hAnsi="Arial" w:cs="Arial"/>
              </w:rPr>
              <w:t>Cancer Fund</w:t>
            </w:r>
          </w:p>
        </w:tc>
        <w:tc>
          <w:tcPr>
            <w:tcW w:w="1351" w:type="dxa"/>
          </w:tcPr>
          <w:p w:rsidR="00AE28C0" w:rsidRDefault="00AE28C0" w:rsidP="00AE28C0">
            <w:pPr>
              <w:contextualSpacing/>
              <w:jc w:val="right"/>
              <w:rPr>
                <w:rFonts w:ascii="Arial" w:hAnsi="Arial" w:cs="Arial"/>
              </w:rPr>
            </w:pPr>
            <w:r>
              <w:rPr>
                <w:rFonts w:ascii="Arial" w:hAnsi="Arial" w:cs="Arial"/>
              </w:rPr>
              <w:t>£8m</w:t>
            </w:r>
          </w:p>
        </w:tc>
        <w:tc>
          <w:tcPr>
            <w:tcW w:w="1351" w:type="dxa"/>
          </w:tcPr>
          <w:p w:rsidR="00AE28C0" w:rsidRDefault="00AE28C0" w:rsidP="00AE28C0">
            <w:pPr>
              <w:contextualSpacing/>
              <w:jc w:val="right"/>
              <w:rPr>
                <w:rFonts w:ascii="Arial" w:hAnsi="Arial" w:cs="Arial"/>
              </w:rPr>
            </w:pPr>
            <w:r>
              <w:rPr>
                <w:rFonts w:ascii="Arial" w:hAnsi="Arial" w:cs="Arial"/>
              </w:rPr>
              <w:t>£10m</w:t>
            </w:r>
          </w:p>
        </w:tc>
        <w:tc>
          <w:tcPr>
            <w:tcW w:w="1957" w:type="dxa"/>
          </w:tcPr>
          <w:p w:rsidR="00AE28C0" w:rsidRDefault="00AE28C0" w:rsidP="00AE28C0">
            <w:pPr>
              <w:contextualSpacing/>
              <w:jc w:val="right"/>
              <w:rPr>
                <w:rFonts w:ascii="Arial" w:hAnsi="Arial" w:cs="Arial"/>
              </w:rPr>
            </w:pPr>
            <w:r>
              <w:rPr>
                <w:rFonts w:ascii="Arial" w:hAnsi="Arial" w:cs="Arial"/>
              </w:rPr>
              <w:t>£2m</w:t>
            </w:r>
          </w:p>
        </w:tc>
      </w:tr>
      <w:tr w:rsidR="00AE28C0" w:rsidRPr="00CB59BF" w:rsidTr="00FB0189">
        <w:trPr>
          <w:jc w:val="center"/>
        </w:trPr>
        <w:tc>
          <w:tcPr>
            <w:tcW w:w="4235" w:type="dxa"/>
          </w:tcPr>
          <w:p w:rsidR="00AE28C0" w:rsidRPr="00CB59BF" w:rsidRDefault="00AE28C0" w:rsidP="00AE28C0">
            <w:pPr>
              <w:contextualSpacing/>
              <w:rPr>
                <w:rFonts w:ascii="Arial" w:hAnsi="Arial" w:cs="Arial"/>
              </w:rPr>
            </w:pPr>
            <w:r w:rsidRPr="00CB59BF">
              <w:rPr>
                <w:rFonts w:ascii="Arial" w:hAnsi="Arial" w:cs="Arial"/>
              </w:rPr>
              <w:t>Total Investment in reform</w:t>
            </w:r>
          </w:p>
        </w:tc>
        <w:tc>
          <w:tcPr>
            <w:tcW w:w="1351" w:type="dxa"/>
          </w:tcPr>
          <w:p w:rsidR="00AE28C0" w:rsidRPr="00CB59BF" w:rsidRDefault="00AE28C0" w:rsidP="00AE28C0">
            <w:pPr>
              <w:contextualSpacing/>
              <w:jc w:val="right"/>
              <w:rPr>
                <w:rFonts w:ascii="Arial" w:hAnsi="Arial" w:cs="Arial"/>
              </w:rPr>
            </w:pPr>
            <w:r w:rsidRPr="00CB59BF">
              <w:rPr>
                <w:rFonts w:ascii="Arial" w:hAnsi="Arial" w:cs="Arial"/>
              </w:rPr>
              <w:t>£128m</w:t>
            </w:r>
          </w:p>
        </w:tc>
        <w:tc>
          <w:tcPr>
            <w:tcW w:w="1351" w:type="dxa"/>
          </w:tcPr>
          <w:p w:rsidR="00AE28C0" w:rsidRPr="00CB59BF" w:rsidRDefault="00AE28C0" w:rsidP="00AE28C0">
            <w:pPr>
              <w:contextualSpacing/>
              <w:jc w:val="right"/>
              <w:rPr>
                <w:rFonts w:ascii="Arial" w:hAnsi="Arial" w:cs="Arial"/>
              </w:rPr>
            </w:pPr>
            <w:r>
              <w:rPr>
                <w:rFonts w:ascii="Arial" w:hAnsi="Arial" w:cs="Arial"/>
              </w:rPr>
              <w:t>£</w:t>
            </w:r>
            <w:r w:rsidRPr="00CB59BF">
              <w:rPr>
                <w:rFonts w:ascii="Arial" w:hAnsi="Arial" w:cs="Arial"/>
              </w:rPr>
              <w:t>303</w:t>
            </w:r>
            <w:r>
              <w:rPr>
                <w:rFonts w:ascii="Arial" w:hAnsi="Arial" w:cs="Arial"/>
              </w:rPr>
              <w:t>m</w:t>
            </w:r>
          </w:p>
        </w:tc>
        <w:tc>
          <w:tcPr>
            <w:tcW w:w="1957" w:type="dxa"/>
          </w:tcPr>
          <w:p w:rsidR="00AE28C0" w:rsidRPr="00CB59BF" w:rsidRDefault="00AE28C0" w:rsidP="00AE28C0">
            <w:pPr>
              <w:contextualSpacing/>
              <w:jc w:val="right"/>
              <w:rPr>
                <w:rFonts w:ascii="Arial" w:hAnsi="Arial" w:cs="Arial"/>
              </w:rPr>
            </w:pPr>
            <w:r>
              <w:rPr>
                <w:rFonts w:ascii="Arial" w:hAnsi="Arial" w:cs="Arial"/>
              </w:rPr>
              <w:t>£</w:t>
            </w:r>
            <w:r w:rsidRPr="00CB59BF">
              <w:rPr>
                <w:rFonts w:ascii="Arial" w:hAnsi="Arial" w:cs="Arial"/>
              </w:rPr>
              <w:t>175</w:t>
            </w:r>
            <w:r>
              <w:rPr>
                <w:rFonts w:ascii="Arial" w:hAnsi="Arial" w:cs="Arial"/>
              </w:rPr>
              <w:t>m</w:t>
            </w:r>
          </w:p>
        </w:tc>
      </w:tr>
    </w:tbl>
    <w:p w:rsidR="00B32936" w:rsidRDefault="00B32936" w:rsidP="00B03BB8">
      <w:pPr>
        <w:ind w:left="360"/>
        <w:rPr>
          <w:rFonts w:ascii="Arial" w:hAnsi="Arial" w:cs="Arial"/>
        </w:rPr>
      </w:pPr>
    </w:p>
    <w:p w:rsidR="00B03BB8" w:rsidRDefault="00B03BB8" w:rsidP="00B03BB8">
      <w:pPr>
        <w:ind w:left="360"/>
        <w:rPr>
          <w:rFonts w:ascii="Arial" w:hAnsi="Arial" w:cs="Arial"/>
        </w:rPr>
      </w:pPr>
      <w:r w:rsidRPr="002E52E9">
        <w:rPr>
          <w:rFonts w:ascii="Arial" w:hAnsi="Arial" w:cs="Arial"/>
        </w:rPr>
        <w:t>I</w:t>
      </w:r>
      <w:r w:rsidR="002E52E9" w:rsidRPr="002E52E9">
        <w:rPr>
          <w:rFonts w:ascii="Arial" w:hAnsi="Arial" w:cs="Arial"/>
        </w:rPr>
        <w:t>n addition</w:t>
      </w:r>
      <w:r w:rsidR="00FB0189">
        <w:rPr>
          <w:rFonts w:ascii="Arial" w:hAnsi="Arial" w:cs="Arial"/>
        </w:rPr>
        <w:t>,</w:t>
      </w:r>
      <w:r w:rsidR="002E52E9" w:rsidRPr="002E52E9">
        <w:rPr>
          <w:rFonts w:ascii="Arial" w:hAnsi="Arial" w:cs="Arial"/>
        </w:rPr>
        <w:t xml:space="preserve"> all Boards submit an</w:t>
      </w:r>
      <w:r w:rsidRPr="002E52E9">
        <w:rPr>
          <w:rFonts w:ascii="Arial" w:hAnsi="Arial" w:cs="Arial"/>
        </w:rPr>
        <w:t xml:space="preserve">, infrastructure investment capital plan which requires to be completed for </w:t>
      </w:r>
      <w:r w:rsidR="00AE28C0">
        <w:rPr>
          <w:rFonts w:ascii="Arial" w:hAnsi="Arial" w:cs="Arial"/>
        </w:rPr>
        <w:t>a min</w:t>
      </w:r>
      <w:r w:rsidR="002C0196">
        <w:rPr>
          <w:rFonts w:ascii="Arial" w:hAnsi="Arial" w:cs="Arial"/>
        </w:rPr>
        <w:t>i</w:t>
      </w:r>
      <w:r w:rsidR="00AE28C0">
        <w:rPr>
          <w:rFonts w:ascii="Arial" w:hAnsi="Arial" w:cs="Arial"/>
        </w:rPr>
        <w:t xml:space="preserve">mum of </w:t>
      </w:r>
      <w:r w:rsidRPr="002E52E9">
        <w:rPr>
          <w:rFonts w:ascii="Arial" w:hAnsi="Arial" w:cs="Arial"/>
        </w:rPr>
        <w:t>five years.</w:t>
      </w:r>
    </w:p>
    <w:p w:rsidR="00CF64F9" w:rsidRPr="00CF64F9" w:rsidRDefault="00CF64F9" w:rsidP="00CF64F9">
      <w:pPr>
        <w:rPr>
          <w:rFonts w:ascii="Arial" w:hAnsi="Arial" w:cs="Arial"/>
          <w:highlight w:val="yellow"/>
        </w:rPr>
      </w:pPr>
    </w:p>
    <w:p w:rsidR="00CF64F9" w:rsidRPr="00A57AAA" w:rsidRDefault="00CF64F9" w:rsidP="00CF64F9">
      <w:pPr>
        <w:pStyle w:val="Heading4"/>
        <w:numPr>
          <w:ilvl w:val="0"/>
          <w:numId w:val="3"/>
        </w:numPr>
        <w:rPr>
          <w:rFonts w:ascii="Arial" w:hAnsi="Arial" w:cs="Arial"/>
        </w:rPr>
      </w:pPr>
      <w:r w:rsidRPr="00A57AAA">
        <w:rPr>
          <w:rFonts w:ascii="Arial" w:hAnsi="Arial" w:cs="Arial"/>
        </w:rPr>
        <w:t xml:space="preserve">Annual Accounts </w:t>
      </w:r>
      <w:r w:rsidR="00674282" w:rsidRPr="00A57AAA">
        <w:rPr>
          <w:rFonts w:ascii="Arial" w:hAnsi="Arial" w:cs="Arial"/>
        </w:rPr>
        <w:t>2017/18</w:t>
      </w:r>
      <w:r w:rsidRPr="00A57AAA">
        <w:rPr>
          <w:rFonts w:ascii="Arial" w:hAnsi="Arial" w:cs="Arial"/>
        </w:rPr>
        <w:t xml:space="preserve"> </w:t>
      </w:r>
    </w:p>
    <w:p w:rsidR="00CF64F9" w:rsidRPr="00A57AAA" w:rsidRDefault="00CF64F9" w:rsidP="00CF64F9"/>
    <w:p w:rsidR="00CF64F9" w:rsidRDefault="00CF64F9" w:rsidP="00CF64F9">
      <w:pPr>
        <w:ind w:left="360"/>
        <w:rPr>
          <w:rFonts w:ascii="Arial" w:hAnsi="Arial" w:cs="Arial"/>
        </w:rPr>
      </w:pPr>
      <w:r w:rsidRPr="00A57AAA">
        <w:rPr>
          <w:rFonts w:ascii="Arial" w:hAnsi="Arial" w:cs="Arial"/>
        </w:rPr>
        <w:t>The external audit interim visit will be completed in February.  The output from this visit will be formally reported by Scott Moncrieff to the April Audit and Risk Committee.</w:t>
      </w:r>
    </w:p>
    <w:p w:rsidR="00AE28C0" w:rsidRDefault="00AE28C0" w:rsidP="00CF64F9">
      <w:pPr>
        <w:ind w:left="360"/>
        <w:rPr>
          <w:rFonts w:ascii="Arial" w:hAnsi="Arial" w:cs="Arial"/>
        </w:rPr>
      </w:pPr>
    </w:p>
    <w:p w:rsidR="00AE28C0" w:rsidRPr="00A57AAA" w:rsidRDefault="00AE28C0" w:rsidP="00CF64F9">
      <w:pPr>
        <w:ind w:left="360"/>
        <w:rPr>
          <w:rFonts w:ascii="Arial" w:hAnsi="Arial" w:cs="Arial"/>
        </w:rPr>
      </w:pPr>
      <w:r>
        <w:rPr>
          <w:rFonts w:ascii="Arial" w:hAnsi="Arial" w:cs="Arial"/>
        </w:rPr>
        <w:t xml:space="preserve">As in </w:t>
      </w:r>
      <w:r w:rsidR="000139FF">
        <w:rPr>
          <w:rFonts w:ascii="Arial" w:hAnsi="Arial" w:cs="Arial"/>
        </w:rPr>
        <w:t>prior</w:t>
      </w:r>
      <w:r>
        <w:rPr>
          <w:rFonts w:ascii="Arial" w:hAnsi="Arial" w:cs="Arial"/>
        </w:rPr>
        <w:t xml:space="preserve"> years</w:t>
      </w:r>
      <w:r w:rsidR="00FB0189">
        <w:rPr>
          <w:rFonts w:ascii="Arial" w:hAnsi="Arial" w:cs="Arial"/>
        </w:rPr>
        <w:t>,</w:t>
      </w:r>
      <w:r>
        <w:rPr>
          <w:rFonts w:ascii="Arial" w:hAnsi="Arial" w:cs="Arial"/>
        </w:rPr>
        <w:t xml:space="preserve"> the finance team </w:t>
      </w:r>
      <w:r w:rsidR="000139FF">
        <w:rPr>
          <w:rFonts w:ascii="Arial" w:hAnsi="Arial" w:cs="Arial"/>
        </w:rPr>
        <w:t>will roll-over the accounts template during February taking account of the changes in the accounts template.  At this point we will ensure that the working papers for the year-end are prepared</w:t>
      </w:r>
      <w:r w:rsidR="00245960">
        <w:rPr>
          <w:rFonts w:ascii="Arial" w:hAnsi="Arial" w:cs="Arial"/>
        </w:rPr>
        <w:t>.  The roll-over process will enable familiarisation with the new template and enable the year-end timetable to be met.</w:t>
      </w:r>
    </w:p>
    <w:p w:rsidR="00CF64F9" w:rsidRPr="00A57AAA" w:rsidRDefault="00CF64F9" w:rsidP="00CF64F9">
      <w:pPr>
        <w:ind w:left="360"/>
        <w:rPr>
          <w:rFonts w:ascii="Arial" w:hAnsi="Arial" w:cs="Arial"/>
        </w:rPr>
      </w:pPr>
    </w:p>
    <w:p w:rsidR="00CF64F9" w:rsidRPr="00A57AAA" w:rsidRDefault="00CF64F9" w:rsidP="00CF64F9">
      <w:pPr>
        <w:ind w:left="360"/>
        <w:rPr>
          <w:rFonts w:ascii="Arial" w:hAnsi="Arial" w:cs="Arial"/>
        </w:rPr>
      </w:pPr>
      <w:r w:rsidRPr="00A57AAA">
        <w:rPr>
          <w:rFonts w:ascii="Arial" w:hAnsi="Arial" w:cs="Arial"/>
        </w:rPr>
        <w:t xml:space="preserve">The annual audit of the Directors Report and Annual Accounts will commence </w:t>
      </w:r>
      <w:r w:rsidR="00674282" w:rsidRPr="00A57AAA">
        <w:rPr>
          <w:rFonts w:ascii="Arial" w:hAnsi="Arial" w:cs="Arial"/>
        </w:rPr>
        <w:t>in</w:t>
      </w:r>
      <w:r w:rsidRPr="00A57AAA">
        <w:rPr>
          <w:rFonts w:ascii="Arial" w:hAnsi="Arial" w:cs="Arial"/>
        </w:rPr>
        <w:t xml:space="preserve"> May</w:t>
      </w:r>
      <w:r w:rsidR="00FB0189">
        <w:rPr>
          <w:rFonts w:ascii="Arial" w:hAnsi="Arial" w:cs="Arial"/>
        </w:rPr>
        <w:t>;</w:t>
      </w:r>
      <w:r w:rsidRPr="00A57AAA">
        <w:rPr>
          <w:rFonts w:ascii="Arial" w:hAnsi="Arial" w:cs="Arial"/>
        </w:rPr>
        <w:t xml:space="preserve"> it is anticipated that the auditors will be on site for two weeks.</w:t>
      </w:r>
    </w:p>
    <w:p w:rsidR="00CF64F9" w:rsidRPr="00A57AAA" w:rsidRDefault="00CF64F9" w:rsidP="00CF64F9">
      <w:pPr>
        <w:ind w:left="360"/>
        <w:rPr>
          <w:rFonts w:ascii="Arial" w:hAnsi="Arial" w:cs="Arial"/>
        </w:rPr>
      </w:pPr>
    </w:p>
    <w:p w:rsidR="00CF64F9" w:rsidRPr="00A57AAA" w:rsidRDefault="00CF64F9" w:rsidP="00CF64F9">
      <w:pPr>
        <w:ind w:left="360"/>
        <w:rPr>
          <w:rFonts w:ascii="Arial" w:hAnsi="Arial" w:cs="Arial"/>
        </w:rPr>
      </w:pPr>
      <w:r w:rsidRPr="00A57AAA">
        <w:rPr>
          <w:rFonts w:ascii="Arial" w:hAnsi="Arial" w:cs="Arial"/>
        </w:rPr>
        <w:t xml:space="preserve">Following completion of the audit the Directors Report and Annual Accounts will be presented to the Audit and Risk Committee for approval on </w:t>
      </w:r>
      <w:r w:rsidR="00674282" w:rsidRPr="00A57AAA">
        <w:rPr>
          <w:rFonts w:ascii="Arial" w:hAnsi="Arial" w:cs="Arial"/>
        </w:rPr>
        <w:t>12</w:t>
      </w:r>
      <w:r w:rsidRPr="00A57AAA">
        <w:rPr>
          <w:rFonts w:ascii="Arial" w:hAnsi="Arial" w:cs="Arial"/>
        </w:rPr>
        <w:t xml:space="preserve"> June prior to the formal presentation to the Board on </w:t>
      </w:r>
      <w:r w:rsidR="00A57AAA" w:rsidRPr="00A57AAA">
        <w:rPr>
          <w:rFonts w:ascii="Arial" w:hAnsi="Arial" w:cs="Arial"/>
        </w:rPr>
        <w:t>21</w:t>
      </w:r>
      <w:r w:rsidRPr="00A57AAA">
        <w:rPr>
          <w:rFonts w:ascii="Arial" w:hAnsi="Arial" w:cs="Arial"/>
        </w:rPr>
        <w:t xml:space="preserve"> June.  The draft accounts will also be presented to the Senior Mangers meeting on </w:t>
      </w:r>
      <w:r w:rsidR="00A57AAA" w:rsidRPr="00A57AAA">
        <w:rPr>
          <w:rFonts w:ascii="Arial" w:hAnsi="Arial" w:cs="Arial"/>
        </w:rPr>
        <w:t>7</w:t>
      </w:r>
      <w:r w:rsidRPr="00A57AAA">
        <w:rPr>
          <w:rFonts w:ascii="Arial" w:hAnsi="Arial" w:cs="Arial"/>
        </w:rPr>
        <w:t xml:space="preserve"> June. </w:t>
      </w:r>
    </w:p>
    <w:p w:rsidR="00A03F67" w:rsidRDefault="00A03F67">
      <w:pPr>
        <w:rPr>
          <w:rFonts w:ascii="Arial" w:hAnsi="Arial" w:cs="Arial"/>
          <w:bCs/>
          <w:iCs/>
        </w:rPr>
      </w:pPr>
      <w:r>
        <w:rPr>
          <w:rFonts w:ascii="Arial" w:hAnsi="Arial" w:cs="Arial"/>
        </w:rPr>
        <w:br w:type="page"/>
      </w:r>
    </w:p>
    <w:p w:rsidR="00354084" w:rsidRPr="004F42C7" w:rsidRDefault="00354084" w:rsidP="00F643E0">
      <w:pPr>
        <w:pStyle w:val="Heading4"/>
        <w:numPr>
          <w:ilvl w:val="0"/>
          <w:numId w:val="3"/>
        </w:numPr>
        <w:rPr>
          <w:rFonts w:ascii="Arial" w:hAnsi="Arial" w:cs="Arial"/>
        </w:rPr>
      </w:pPr>
      <w:r w:rsidRPr="004F42C7">
        <w:rPr>
          <w:rFonts w:ascii="Arial" w:hAnsi="Arial" w:cs="Arial"/>
        </w:rPr>
        <w:lastRenderedPageBreak/>
        <w:t>Capital Update</w:t>
      </w:r>
    </w:p>
    <w:p w:rsidR="00354084" w:rsidRPr="004F42C7" w:rsidRDefault="00354084" w:rsidP="00A44BE0">
      <w:pPr>
        <w:pStyle w:val="BodyTextIndent2"/>
        <w:ind w:left="360"/>
        <w:jc w:val="left"/>
        <w:rPr>
          <w:rFonts w:ascii="Arial" w:hAnsi="Arial" w:cs="Arial"/>
        </w:rPr>
      </w:pPr>
    </w:p>
    <w:p w:rsidR="00B32936" w:rsidRPr="00FB0189" w:rsidRDefault="00354084" w:rsidP="00FB0189">
      <w:pPr>
        <w:pStyle w:val="BodyTextIndent2"/>
        <w:ind w:left="360"/>
        <w:jc w:val="left"/>
        <w:rPr>
          <w:rFonts w:ascii="Arial" w:hAnsi="Arial" w:cs="Arial"/>
        </w:rPr>
      </w:pPr>
      <w:r w:rsidRPr="004F42C7">
        <w:rPr>
          <w:rFonts w:ascii="Arial" w:hAnsi="Arial" w:cs="Arial"/>
        </w:rPr>
        <w:t>The capital group was provided with an update on the financial position in the three key areas which make up the financial plan with this noted below.</w:t>
      </w:r>
    </w:p>
    <w:p w:rsidR="00B32936" w:rsidRPr="00CC17B4" w:rsidRDefault="00B32936" w:rsidP="00A44BE0">
      <w:pPr>
        <w:pStyle w:val="BodyTextIndent2"/>
        <w:ind w:left="360"/>
        <w:jc w:val="left"/>
        <w:rPr>
          <w:rFonts w:ascii="Arial" w:hAnsi="Arial" w:cs="Arial"/>
          <w:highlight w:val="yellow"/>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2"/>
        <w:gridCol w:w="2053"/>
        <w:gridCol w:w="2023"/>
      </w:tblGrid>
      <w:tr w:rsidR="00354084" w:rsidRPr="009C214A" w:rsidTr="00FB269C">
        <w:tc>
          <w:tcPr>
            <w:tcW w:w="2042" w:type="dxa"/>
          </w:tcPr>
          <w:p w:rsidR="00354084" w:rsidRPr="009C214A" w:rsidRDefault="00354084" w:rsidP="00FB269C">
            <w:pPr>
              <w:pStyle w:val="BodyTextIndent2"/>
              <w:ind w:left="0"/>
              <w:jc w:val="left"/>
              <w:rPr>
                <w:rFonts w:ascii="Arial" w:hAnsi="Arial" w:cs="Arial"/>
              </w:rPr>
            </w:pPr>
          </w:p>
        </w:tc>
        <w:tc>
          <w:tcPr>
            <w:tcW w:w="2053" w:type="dxa"/>
          </w:tcPr>
          <w:p w:rsidR="00354084" w:rsidRPr="009C214A" w:rsidRDefault="00354084" w:rsidP="00FB269C">
            <w:pPr>
              <w:pStyle w:val="BodyTextIndent2"/>
              <w:ind w:left="0"/>
              <w:jc w:val="left"/>
              <w:rPr>
                <w:rFonts w:ascii="Arial" w:hAnsi="Arial" w:cs="Arial"/>
              </w:rPr>
            </w:pPr>
            <w:r w:rsidRPr="009C214A">
              <w:rPr>
                <w:rFonts w:ascii="Arial" w:hAnsi="Arial" w:cs="Arial"/>
              </w:rPr>
              <w:t xml:space="preserve">Allocation </w:t>
            </w:r>
          </w:p>
          <w:p w:rsidR="00354084" w:rsidRPr="009C214A" w:rsidRDefault="00354084" w:rsidP="00FB269C">
            <w:pPr>
              <w:pStyle w:val="BodyTextIndent2"/>
              <w:ind w:left="0"/>
              <w:jc w:val="left"/>
              <w:rPr>
                <w:rFonts w:ascii="Arial" w:hAnsi="Arial" w:cs="Arial"/>
              </w:rPr>
            </w:pPr>
            <w:r w:rsidRPr="009C214A">
              <w:rPr>
                <w:rFonts w:ascii="Arial" w:hAnsi="Arial" w:cs="Arial"/>
              </w:rPr>
              <w:t>£’000</w:t>
            </w:r>
          </w:p>
        </w:tc>
        <w:tc>
          <w:tcPr>
            <w:tcW w:w="2023" w:type="dxa"/>
          </w:tcPr>
          <w:p w:rsidR="00354084" w:rsidRPr="009C214A" w:rsidRDefault="00354084" w:rsidP="00FB269C">
            <w:pPr>
              <w:pStyle w:val="BodyTextIndent2"/>
              <w:ind w:left="0"/>
              <w:jc w:val="left"/>
              <w:rPr>
                <w:rFonts w:ascii="Arial" w:hAnsi="Arial" w:cs="Arial"/>
              </w:rPr>
            </w:pPr>
            <w:r w:rsidRPr="009C214A">
              <w:rPr>
                <w:rFonts w:ascii="Arial" w:hAnsi="Arial" w:cs="Arial"/>
              </w:rPr>
              <w:t>Spend to date</w:t>
            </w:r>
          </w:p>
          <w:p w:rsidR="00354084" w:rsidRPr="009C214A" w:rsidRDefault="00354084" w:rsidP="00FB269C">
            <w:pPr>
              <w:pStyle w:val="BodyTextIndent2"/>
              <w:ind w:left="0"/>
              <w:jc w:val="left"/>
              <w:rPr>
                <w:rFonts w:ascii="Arial" w:hAnsi="Arial" w:cs="Arial"/>
              </w:rPr>
            </w:pPr>
            <w:r w:rsidRPr="009C214A">
              <w:rPr>
                <w:rFonts w:ascii="Arial" w:hAnsi="Arial" w:cs="Arial"/>
              </w:rPr>
              <w:t>£’000</w:t>
            </w:r>
          </w:p>
        </w:tc>
      </w:tr>
      <w:tr w:rsidR="00354084" w:rsidRPr="009C214A" w:rsidTr="00FB269C">
        <w:tc>
          <w:tcPr>
            <w:tcW w:w="2042" w:type="dxa"/>
          </w:tcPr>
          <w:p w:rsidR="00354084" w:rsidRPr="009C214A" w:rsidRDefault="00354084" w:rsidP="00FB269C">
            <w:pPr>
              <w:pStyle w:val="BodyTextIndent2"/>
              <w:ind w:left="0"/>
              <w:jc w:val="left"/>
              <w:rPr>
                <w:rFonts w:ascii="Arial" w:hAnsi="Arial" w:cs="Arial"/>
              </w:rPr>
            </w:pPr>
            <w:r w:rsidRPr="009C214A">
              <w:rPr>
                <w:rFonts w:ascii="Arial" w:hAnsi="Arial" w:cs="Arial"/>
              </w:rPr>
              <w:t>Formula capital</w:t>
            </w:r>
          </w:p>
        </w:tc>
        <w:tc>
          <w:tcPr>
            <w:tcW w:w="2053" w:type="dxa"/>
          </w:tcPr>
          <w:p w:rsidR="00354084" w:rsidRPr="009C214A" w:rsidRDefault="004F42C7" w:rsidP="00FB269C">
            <w:pPr>
              <w:pStyle w:val="BodyTextIndent2"/>
              <w:ind w:left="0"/>
              <w:jc w:val="left"/>
              <w:rPr>
                <w:rFonts w:ascii="Arial" w:hAnsi="Arial" w:cs="Arial"/>
              </w:rPr>
            </w:pPr>
            <w:r w:rsidRPr="009C214A">
              <w:rPr>
                <w:rFonts w:ascii="Arial" w:hAnsi="Arial" w:cs="Arial"/>
              </w:rPr>
              <w:t>4,291</w:t>
            </w:r>
          </w:p>
        </w:tc>
        <w:tc>
          <w:tcPr>
            <w:tcW w:w="2023" w:type="dxa"/>
          </w:tcPr>
          <w:p w:rsidR="00354084" w:rsidRPr="009C214A" w:rsidRDefault="004F42C7" w:rsidP="00FB269C">
            <w:pPr>
              <w:pStyle w:val="BodyTextIndent2"/>
              <w:ind w:left="0"/>
              <w:jc w:val="left"/>
              <w:rPr>
                <w:rFonts w:ascii="Arial" w:hAnsi="Arial" w:cs="Arial"/>
              </w:rPr>
            </w:pPr>
            <w:r w:rsidRPr="009C214A">
              <w:rPr>
                <w:rFonts w:ascii="Arial" w:hAnsi="Arial" w:cs="Arial"/>
              </w:rPr>
              <w:t>262</w:t>
            </w:r>
          </w:p>
        </w:tc>
      </w:tr>
      <w:tr w:rsidR="00354084" w:rsidRPr="009C214A" w:rsidTr="00FB269C">
        <w:tc>
          <w:tcPr>
            <w:tcW w:w="2042" w:type="dxa"/>
          </w:tcPr>
          <w:p w:rsidR="00354084" w:rsidRPr="009C214A" w:rsidRDefault="00354084" w:rsidP="00FB269C">
            <w:pPr>
              <w:pStyle w:val="BodyTextIndent2"/>
              <w:ind w:left="0"/>
              <w:jc w:val="left"/>
              <w:rPr>
                <w:rFonts w:ascii="Arial" w:hAnsi="Arial" w:cs="Arial"/>
              </w:rPr>
            </w:pPr>
            <w:r w:rsidRPr="009C214A">
              <w:rPr>
                <w:rFonts w:ascii="Arial" w:hAnsi="Arial" w:cs="Arial"/>
              </w:rPr>
              <w:t>Capital Stimulus</w:t>
            </w:r>
          </w:p>
        </w:tc>
        <w:tc>
          <w:tcPr>
            <w:tcW w:w="2053" w:type="dxa"/>
          </w:tcPr>
          <w:p w:rsidR="00354084" w:rsidRPr="009C214A" w:rsidRDefault="00354084" w:rsidP="00FB269C">
            <w:pPr>
              <w:pStyle w:val="BodyTextIndent2"/>
              <w:ind w:left="0"/>
              <w:jc w:val="left"/>
              <w:rPr>
                <w:rFonts w:ascii="Arial" w:hAnsi="Arial" w:cs="Arial"/>
              </w:rPr>
            </w:pPr>
            <w:r w:rsidRPr="009C214A">
              <w:rPr>
                <w:rFonts w:ascii="Arial" w:hAnsi="Arial" w:cs="Arial"/>
              </w:rPr>
              <w:t>3,283</w:t>
            </w:r>
          </w:p>
        </w:tc>
        <w:tc>
          <w:tcPr>
            <w:tcW w:w="2023" w:type="dxa"/>
          </w:tcPr>
          <w:p w:rsidR="00354084" w:rsidRPr="009C214A" w:rsidRDefault="004F42C7" w:rsidP="00073359">
            <w:pPr>
              <w:pStyle w:val="BodyTextIndent2"/>
              <w:ind w:left="0"/>
              <w:jc w:val="left"/>
              <w:rPr>
                <w:rFonts w:ascii="Arial" w:hAnsi="Arial" w:cs="Arial"/>
              </w:rPr>
            </w:pPr>
            <w:r w:rsidRPr="009C214A">
              <w:rPr>
                <w:rFonts w:ascii="Arial" w:hAnsi="Arial" w:cs="Arial"/>
              </w:rPr>
              <w:t>2,427</w:t>
            </w:r>
          </w:p>
        </w:tc>
      </w:tr>
      <w:tr w:rsidR="00354084" w:rsidRPr="009C214A" w:rsidTr="00FB269C">
        <w:tc>
          <w:tcPr>
            <w:tcW w:w="2042" w:type="dxa"/>
          </w:tcPr>
          <w:p w:rsidR="00354084" w:rsidRPr="009C214A" w:rsidRDefault="00354084" w:rsidP="00FB269C">
            <w:pPr>
              <w:pStyle w:val="BodyTextIndent2"/>
              <w:ind w:left="0"/>
              <w:jc w:val="left"/>
              <w:rPr>
                <w:rFonts w:ascii="Arial" w:hAnsi="Arial" w:cs="Arial"/>
              </w:rPr>
            </w:pPr>
            <w:r w:rsidRPr="009C214A">
              <w:rPr>
                <w:rFonts w:ascii="Arial" w:hAnsi="Arial" w:cs="Arial"/>
              </w:rPr>
              <w:t>Elective Centre</w:t>
            </w:r>
          </w:p>
        </w:tc>
        <w:tc>
          <w:tcPr>
            <w:tcW w:w="2053" w:type="dxa"/>
          </w:tcPr>
          <w:p w:rsidR="00354084" w:rsidRPr="009C214A" w:rsidRDefault="00354084" w:rsidP="00FB269C">
            <w:pPr>
              <w:pStyle w:val="BodyTextIndent2"/>
              <w:ind w:left="0"/>
              <w:jc w:val="left"/>
              <w:rPr>
                <w:rFonts w:ascii="Arial" w:hAnsi="Arial" w:cs="Arial"/>
              </w:rPr>
            </w:pPr>
            <w:r w:rsidRPr="009C214A">
              <w:rPr>
                <w:rFonts w:ascii="Arial" w:hAnsi="Arial" w:cs="Arial"/>
              </w:rPr>
              <w:t>250</w:t>
            </w:r>
          </w:p>
        </w:tc>
        <w:tc>
          <w:tcPr>
            <w:tcW w:w="2023" w:type="dxa"/>
          </w:tcPr>
          <w:p w:rsidR="00354084" w:rsidRPr="009C214A" w:rsidRDefault="004F42C7" w:rsidP="00FB269C">
            <w:pPr>
              <w:pStyle w:val="BodyTextIndent2"/>
              <w:ind w:left="0"/>
              <w:jc w:val="left"/>
              <w:rPr>
                <w:rFonts w:ascii="Arial" w:hAnsi="Arial" w:cs="Arial"/>
              </w:rPr>
            </w:pPr>
            <w:r w:rsidRPr="009C214A">
              <w:rPr>
                <w:rFonts w:ascii="Arial" w:hAnsi="Arial" w:cs="Arial"/>
              </w:rPr>
              <w:t>228</w:t>
            </w:r>
          </w:p>
        </w:tc>
      </w:tr>
      <w:tr w:rsidR="00354084" w:rsidRPr="00CC17B4" w:rsidTr="00FB269C">
        <w:tc>
          <w:tcPr>
            <w:tcW w:w="2042" w:type="dxa"/>
          </w:tcPr>
          <w:p w:rsidR="00354084" w:rsidRPr="009C214A" w:rsidRDefault="00354084" w:rsidP="00FB269C">
            <w:pPr>
              <w:pStyle w:val="BodyTextIndent2"/>
              <w:ind w:left="0"/>
              <w:jc w:val="left"/>
              <w:rPr>
                <w:rFonts w:ascii="Arial" w:hAnsi="Arial" w:cs="Arial"/>
                <w:b/>
              </w:rPr>
            </w:pPr>
            <w:r w:rsidRPr="009C214A">
              <w:rPr>
                <w:rFonts w:ascii="Arial" w:hAnsi="Arial" w:cs="Arial"/>
                <w:b/>
              </w:rPr>
              <w:t>Total</w:t>
            </w:r>
          </w:p>
        </w:tc>
        <w:tc>
          <w:tcPr>
            <w:tcW w:w="2053" w:type="dxa"/>
          </w:tcPr>
          <w:p w:rsidR="00354084" w:rsidRPr="009C214A" w:rsidRDefault="004F42C7" w:rsidP="00FB269C">
            <w:pPr>
              <w:pStyle w:val="BodyTextIndent2"/>
              <w:ind w:left="0"/>
              <w:jc w:val="left"/>
              <w:rPr>
                <w:rFonts w:ascii="Arial" w:hAnsi="Arial" w:cs="Arial"/>
                <w:b/>
              </w:rPr>
            </w:pPr>
            <w:r w:rsidRPr="009C214A">
              <w:rPr>
                <w:rFonts w:ascii="Arial" w:hAnsi="Arial" w:cs="Arial"/>
                <w:b/>
              </w:rPr>
              <w:t>7,824</w:t>
            </w:r>
          </w:p>
        </w:tc>
        <w:tc>
          <w:tcPr>
            <w:tcW w:w="2023" w:type="dxa"/>
          </w:tcPr>
          <w:p w:rsidR="00354084" w:rsidRPr="009C214A" w:rsidRDefault="009C214A" w:rsidP="00073359">
            <w:pPr>
              <w:pStyle w:val="BodyTextIndent2"/>
              <w:ind w:left="0"/>
              <w:jc w:val="left"/>
              <w:rPr>
                <w:rFonts w:ascii="Arial" w:hAnsi="Arial" w:cs="Arial"/>
                <w:b/>
              </w:rPr>
            </w:pPr>
            <w:r w:rsidRPr="009C214A">
              <w:rPr>
                <w:rFonts w:ascii="Arial" w:hAnsi="Arial" w:cs="Arial"/>
                <w:b/>
              </w:rPr>
              <w:t>2,918</w:t>
            </w:r>
          </w:p>
        </w:tc>
      </w:tr>
    </w:tbl>
    <w:p w:rsidR="00354084" w:rsidRPr="00CC17B4" w:rsidRDefault="00354084" w:rsidP="00A44BE0">
      <w:pPr>
        <w:pStyle w:val="BodyTextIndent2"/>
        <w:ind w:left="360"/>
        <w:jc w:val="left"/>
        <w:rPr>
          <w:rFonts w:ascii="Arial" w:hAnsi="Arial" w:cs="Arial"/>
          <w:highlight w:val="yellow"/>
        </w:rPr>
      </w:pPr>
    </w:p>
    <w:p w:rsidR="00354084" w:rsidRPr="004516F9" w:rsidRDefault="00354084" w:rsidP="00E21DC8">
      <w:pPr>
        <w:ind w:left="360"/>
        <w:rPr>
          <w:rFonts w:ascii="Arial" w:hAnsi="Arial" w:cs="Arial"/>
        </w:rPr>
      </w:pPr>
      <w:r w:rsidRPr="004516F9">
        <w:rPr>
          <w:rFonts w:ascii="Arial" w:hAnsi="Arial" w:cs="Arial"/>
        </w:rPr>
        <w:t xml:space="preserve">The </w:t>
      </w:r>
      <w:r w:rsidRPr="004516F9">
        <w:rPr>
          <w:rFonts w:ascii="Arial" w:hAnsi="Arial" w:cs="Arial"/>
          <w:b/>
        </w:rPr>
        <w:t>Formula Capital</w:t>
      </w:r>
      <w:r w:rsidRPr="004516F9">
        <w:rPr>
          <w:rFonts w:ascii="Arial" w:hAnsi="Arial" w:cs="Arial"/>
        </w:rPr>
        <w:t xml:space="preserve"> spend is in line with anticipated spend for month </w:t>
      </w:r>
      <w:r w:rsidR="009C214A" w:rsidRPr="004516F9">
        <w:rPr>
          <w:rFonts w:ascii="Arial" w:hAnsi="Arial" w:cs="Arial"/>
        </w:rPr>
        <w:t>seven</w:t>
      </w:r>
      <w:r w:rsidRPr="004516F9">
        <w:rPr>
          <w:rFonts w:ascii="Arial" w:hAnsi="Arial" w:cs="Arial"/>
        </w:rPr>
        <w:t xml:space="preserve">, meetings have been held with all leads in the main spend areas and business cases will be presented for the majority of spend </w:t>
      </w:r>
      <w:r w:rsidR="009C214A" w:rsidRPr="004516F9">
        <w:rPr>
          <w:rFonts w:ascii="Arial" w:hAnsi="Arial" w:cs="Arial"/>
        </w:rPr>
        <w:t>by the first week in January</w:t>
      </w:r>
      <w:r w:rsidRPr="004516F9">
        <w:rPr>
          <w:rFonts w:ascii="Arial" w:hAnsi="Arial" w:cs="Arial"/>
        </w:rPr>
        <w:t>.  All major items have been tendered for in advance of the business cases being submitted to ensure that the most accurate price is included in the business case.</w:t>
      </w:r>
    </w:p>
    <w:p w:rsidR="00A03F67" w:rsidRDefault="00A03F67" w:rsidP="00E21DC8">
      <w:pPr>
        <w:ind w:left="360"/>
        <w:rPr>
          <w:rFonts w:ascii="Arial" w:hAnsi="Arial" w:cs="Arial"/>
        </w:rPr>
      </w:pPr>
    </w:p>
    <w:p w:rsidR="00354084" w:rsidRPr="004516F9" w:rsidRDefault="00354084" w:rsidP="00E21DC8">
      <w:pPr>
        <w:ind w:left="360"/>
        <w:rPr>
          <w:rFonts w:ascii="Arial" w:hAnsi="Arial" w:cs="Arial"/>
        </w:rPr>
      </w:pPr>
      <w:r w:rsidRPr="004516F9">
        <w:rPr>
          <w:rFonts w:ascii="Arial" w:hAnsi="Arial" w:cs="Arial"/>
        </w:rPr>
        <w:t xml:space="preserve">The </w:t>
      </w:r>
      <w:r w:rsidRPr="004516F9">
        <w:rPr>
          <w:rFonts w:ascii="Arial" w:hAnsi="Arial" w:cs="Arial"/>
          <w:b/>
        </w:rPr>
        <w:t>Capital Stimulus</w:t>
      </w:r>
      <w:r w:rsidRPr="004516F9">
        <w:rPr>
          <w:rFonts w:ascii="Arial" w:hAnsi="Arial" w:cs="Arial"/>
        </w:rPr>
        <w:t xml:space="preserve"> spend in year relates to the MRI suite, including the two new MRI scanners.  At this point it would appear that spend in year will be lower than budget, </w:t>
      </w:r>
      <w:r w:rsidR="002E6C31" w:rsidRPr="004516F9">
        <w:rPr>
          <w:rFonts w:ascii="Arial" w:hAnsi="Arial" w:cs="Arial"/>
        </w:rPr>
        <w:t xml:space="preserve">with </w:t>
      </w:r>
      <w:r w:rsidRPr="004516F9">
        <w:rPr>
          <w:rFonts w:ascii="Arial" w:hAnsi="Arial" w:cs="Arial"/>
        </w:rPr>
        <w:t xml:space="preserve">the final out-turn for the project </w:t>
      </w:r>
      <w:r w:rsidR="002E6C31" w:rsidRPr="004516F9">
        <w:rPr>
          <w:rFonts w:ascii="Arial" w:hAnsi="Arial" w:cs="Arial"/>
        </w:rPr>
        <w:t xml:space="preserve">to be confirmed in </w:t>
      </w:r>
      <w:r w:rsidR="004516F9" w:rsidRPr="004516F9">
        <w:rPr>
          <w:rFonts w:ascii="Arial" w:hAnsi="Arial" w:cs="Arial"/>
        </w:rPr>
        <w:t>late</w:t>
      </w:r>
      <w:r w:rsidRPr="004516F9">
        <w:rPr>
          <w:rFonts w:ascii="Arial" w:hAnsi="Arial" w:cs="Arial"/>
        </w:rPr>
        <w:t xml:space="preserve"> January.  As agreed with SGHSCD the residual balance in year will be carried over to 2018/19 to contribute to the ophthalmology project</w:t>
      </w:r>
      <w:r w:rsidR="002E6C31" w:rsidRPr="004516F9">
        <w:rPr>
          <w:rFonts w:ascii="Arial" w:hAnsi="Arial" w:cs="Arial"/>
        </w:rPr>
        <w:t xml:space="preserve"> and/or other increasing capacity projects</w:t>
      </w:r>
      <w:r w:rsidR="00073359" w:rsidRPr="004516F9">
        <w:rPr>
          <w:rFonts w:ascii="Arial" w:hAnsi="Arial" w:cs="Arial"/>
        </w:rPr>
        <w:t xml:space="preserve"> including the </w:t>
      </w:r>
      <w:r w:rsidR="00960971">
        <w:rPr>
          <w:rFonts w:ascii="Arial" w:hAnsi="Arial" w:cs="Arial"/>
        </w:rPr>
        <w:t xml:space="preserve">potential </w:t>
      </w:r>
      <w:r w:rsidR="00073359" w:rsidRPr="004516F9">
        <w:rPr>
          <w:rFonts w:ascii="Arial" w:hAnsi="Arial" w:cs="Arial"/>
        </w:rPr>
        <w:t>purchase of a second CT scanner.</w:t>
      </w:r>
    </w:p>
    <w:p w:rsidR="00354084" w:rsidRPr="004516F9" w:rsidRDefault="00354084" w:rsidP="00E21DC8">
      <w:pPr>
        <w:ind w:left="360"/>
        <w:rPr>
          <w:rFonts w:ascii="Arial" w:hAnsi="Arial" w:cs="Arial"/>
        </w:rPr>
      </w:pPr>
    </w:p>
    <w:p w:rsidR="002A3FB7" w:rsidRPr="004516F9" w:rsidRDefault="00354084" w:rsidP="00A57AAA">
      <w:pPr>
        <w:ind w:left="360"/>
        <w:rPr>
          <w:rFonts w:ascii="Arial" w:hAnsi="Arial" w:cs="Arial"/>
        </w:rPr>
      </w:pPr>
      <w:r w:rsidRPr="004516F9">
        <w:rPr>
          <w:rFonts w:ascii="Arial" w:hAnsi="Arial" w:cs="Arial"/>
        </w:rPr>
        <w:t xml:space="preserve">The </w:t>
      </w:r>
      <w:r w:rsidRPr="004516F9">
        <w:rPr>
          <w:rFonts w:ascii="Arial" w:hAnsi="Arial" w:cs="Arial"/>
          <w:b/>
        </w:rPr>
        <w:t xml:space="preserve">Elective Centre </w:t>
      </w:r>
      <w:r w:rsidRPr="004516F9">
        <w:rPr>
          <w:rFonts w:ascii="Arial" w:hAnsi="Arial" w:cs="Arial"/>
        </w:rPr>
        <w:t xml:space="preserve">spend in year relates to </w:t>
      </w:r>
      <w:r w:rsidR="002E6C31" w:rsidRPr="004516F9">
        <w:rPr>
          <w:rFonts w:ascii="Arial" w:hAnsi="Arial" w:cs="Arial"/>
        </w:rPr>
        <w:t xml:space="preserve">advisor </w:t>
      </w:r>
      <w:r w:rsidRPr="004516F9">
        <w:rPr>
          <w:rFonts w:ascii="Arial" w:hAnsi="Arial" w:cs="Arial"/>
        </w:rPr>
        <w:t xml:space="preserve">fees which will be incurred in advance of building work being commenced.  These fees relate to Cost Advisor, Project Manager and design cost for the PSCP.  In order to monitor this spend there </w:t>
      </w:r>
      <w:r w:rsidR="002E2C72" w:rsidRPr="004516F9">
        <w:rPr>
          <w:rFonts w:ascii="Arial" w:hAnsi="Arial" w:cs="Arial"/>
        </w:rPr>
        <w:t>are fortnightly</w:t>
      </w:r>
      <w:r w:rsidRPr="004516F9">
        <w:rPr>
          <w:rFonts w:ascii="Arial" w:hAnsi="Arial" w:cs="Arial"/>
        </w:rPr>
        <w:t xml:space="preserve"> </w:t>
      </w:r>
      <w:r w:rsidR="00960971">
        <w:rPr>
          <w:rFonts w:ascii="Arial" w:hAnsi="Arial" w:cs="Arial"/>
        </w:rPr>
        <w:t xml:space="preserve">operational </w:t>
      </w:r>
      <w:r w:rsidRPr="004516F9">
        <w:rPr>
          <w:rFonts w:ascii="Arial" w:hAnsi="Arial" w:cs="Arial"/>
        </w:rPr>
        <w:t xml:space="preserve">cost control </w:t>
      </w:r>
      <w:r w:rsidR="002E6C31" w:rsidRPr="004516F9">
        <w:rPr>
          <w:rFonts w:ascii="Arial" w:hAnsi="Arial" w:cs="Arial"/>
        </w:rPr>
        <w:t xml:space="preserve">review </w:t>
      </w:r>
      <w:r w:rsidRPr="004516F9">
        <w:rPr>
          <w:rFonts w:ascii="Arial" w:hAnsi="Arial" w:cs="Arial"/>
        </w:rPr>
        <w:t xml:space="preserve">meetings </w:t>
      </w:r>
      <w:r w:rsidR="002E6C31" w:rsidRPr="004516F9">
        <w:rPr>
          <w:rFonts w:ascii="Arial" w:hAnsi="Arial" w:cs="Arial"/>
        </w:rPr>
        <w:t xml:space="preserve">established </w:t>
      </w:r>
      <w:r w:rsidRPr="004516F9">
        <w:rPr>
          <w:rFonts w:ascii="Arial" w:hAnsi="Arial" w:cs="Arial"/>
        </w:rPr>
        <w:t xml:space="preserve">to ensure that costs are monitored closely.  </w:t>
      </w:r>
      <w:r w:rsidR="002E6C31" w:rsidRPr="004516F9">
        <w:rPr>
          <w:rFonts w:ascii="Arial" w:hAnsi="Arial" w:cs="Arial"/>
        </w:rPr>
        <w:t xml:space="preserve">In addition a formal </w:t>
      </w:r>
      <w:r w:rsidR="00960971">
        <w:rPr>
          <w:rFonts w:ascii="Arial" w:hAnsi="Arial" w:cs="Arial"/>
        </w:rPr>
        <w:t xml:space="preserve">monthly </w:t>
      </w:r>
      <w:r w:rsidR="002E6C31" w:rsidRPr="004516F9">
        <w:rPr>
          <w:rFonts w:ascii="Arial" w:hAnsi="Arial" w:cs="Arial"/>
        </w:rPr>
        <w:t>cost control group chaired by the Director of Finance</w:t>
      </w:r>
      <w:r w:rsidR="002E2C72" w:rsidRPr="004516F9">
        <w:rPr>
          <w:rFonts w:ascii="Arial" w:hAnsi="Arial" w:cs="Arial"/>
        </w:rPr>
        <w:t xml:space="preserve"> has been established </w:t>
      </w:r>
      <w:r w:rsidR="00C7637B" w:rsidRPr="004516F9">
        <w:rPr>
          <w:rFonts w:ascii="Arial" w:hAnsi="Arial" w:cs="Arial"/>
        </w:rPr>
        <w:t xml:space="preserve">to provide a single point of authority to ensure effective delivery of the Board’s expansion expenditure and investment plan and maintain a co-ordinated fiscal approach to all aspects of capital and revenue expenditure associated with the </w:t>
      </w:r>
      <w:r w:rsidR="00960971">
        <w:rPr>
          <w:rFonts w:ascii="Arial" w:hAnsi="Arial" w:cs="Arial"/>
        </w:rPr>
        <w:t xml:space="preserve">expansion </w:t>
      </w:r>
      <w:r w:rsidR="00C7637B" w:rsidRPr="004516F9">
        <w:rPr>
          <w:rFonts w:ascii="Arial" w:hAnsi="Arial" w:cs="Arial"/>
        </w:rPr>
        <w:t>project and the corresponding link to the Board’s capital investment plan.</w:t>
      </w:r>
    </w:p>
    <w:p w:rsidR="00354084" w:rsidRDefault="00354084" w:rsidP="006D4EC5">
      <w:pPr>
        <w:rPr>
          <w:rFonts w:ascii="Arial" w:hAnsi="Arial" w:cs="Arial"/>
        </w:rPr>
      </w:pPr>
    </w:p>
    <w:p w:rsidR="00354084" w:rsidRDefault="00354084" w:rsidP="00E23B04">
      <w:pPr>
        <w:pStyle w:val="Heading4"/>
        <w:numPr>
          <w:ilvl w:val="0"/>
          <w:numId w:val="3"/>
        </w:numPr>
        <w:rPr>
          <w:rFonts w:ascii="Arial" w:hAnsi="Arial" w:cs="Arial"/>
        </w:rPr>
      </w:pPr>
      <w:r>
        <w:rPr>
          <w:rFonts w:ascii="Arial" w:hAnsi="Arial" w:cs="Arial"/>
        </w:rPr>
        <w:t>Efficiency Savings</w:t>
      </w:r>
    </w:p>
    <w:p w:rsidR="00354084" w:rsidRPr="007D6BFC" w:rsidRDefault="00354084" w:rsidP="00E23B04"/>
    <w:p w:rsidR="00354084" w:rsidRDefault="00B775CB" w:rsidP="00CB6C66">
      <w:pPr>
        <w:ind w:left="360"/>
        <w:rPr>
          <w:rFonts w:ascii="Arial" w:hAnsi="Arial" w:cs="Arial"/>
        </w:rPr>
      </w:pPr>
      <w:r>
        <w:rPr>
          <w:rFonts w:ascii="Arial" w:hAnsi="Arial" w:cs="Arial"/>
        </w:rPr>
        <w:t>At month ni</w:t>
      </w:r>
      <w:r w:rsidR="00E71E60">
        <w:rPr>
          <w:rFonts w:ascii="Arial" w:hAnsi="Arial" w:cs="Arial"/>
        </w:rPr>
        <w:t>n</w:t>
      </w:r>
      <w:r>
        <w:rPr>
          <w:rFonts w:ascii="Arial" w:hAnsi="Arial" w:cs="Arial"/>
        </w:rPr>
        <w:t>e</w:t>
      </w:r>
      <w:r w:rsidR="00986260">
        <w:rPr>
          <w:rFonts w:ascii="Arial" w:hAnsi="Arial" w:cs="Arial"/>
        </w:rPr>
        <w:t>,</w:t>
      </w:r>
      <w:r w:rsidR="00E71E60">
        <w:rPr>
          <w:rFonts w:ascii="Arial" w:hAnsi="Arial" w:cs="Arial"/>
        </w:rPr>
        <w:t xml:space="preserve"> </w:t>
      </w:r>
      <w:r w:rsidR="00354084">
        <w:rPr>
          <w:rFonts w:ascii="Arial" w:hAnsi="Arial" w:cs="Arial"/>
        </w:rPr>
        <w:t xml:space="preserve">total </w:t>
      </w:r>
      <w:r w:rsidR="00354084" w:rsidRPr="00EF2EDC">
        <w:rPr>
          <w:rFonts w:ascii="Arial" w:hAnsi="Arial" w:cs="Arial"/>
        </w:rPr>
        <w:t>efficiency savings delivered were £</w:t>
      </w:r>
      <w:r w:rsidR="008265F2">
        <w:rPr>
          <w:rFonts w:ascii="Arial" w:hAnsi="Arial" w:cs="Arial"/>
        </w:rPr>
        <w:t>3</w:t>
      </w:r>
      <w:r w:rsidR="00354084" w:rsidRPr="00EF2EDC">
        <w:rPr>
          <w:rFonts w:ascii="Arial" w:hAnsi="Arial" w:cs="Arial"/>
        </w:rPr>
        <w:t>.</w:t>
      </w:r>
      <w:r w:rsidR="008265F2">
        <w:rPr>
          <w:rFonts w:ascii="Arial" w:hAnsi="Arial" w:cs="Arial"/>
        </w:rPr>
        <w:t>48</w:t>
      </w:r>
      <w:r w:rsidR="00986260">
        <w:rPr>
          <w:rFonts w:ascii="Arial" w:hAnsi="Arial" w:cs="Arial"/>
        </w:rPr>
        <w:t>m against a Local Delivery Plan (</w:t>
      </w:r>
      <w:r w:rsidR="00354084" w:rsidRPr="00EF2EDC">
        <w:rPr>
          <w:rFonts w:ascii="Arial" w:hAnsi="Arial" w:cs="Arial"/>
        </w:rPr>
        <w:t>LDP</w:t>
      </w:r>
      <w:r w:rsidR="00986260">
        <w:rPr>
          <w:rFonts w:ascii="Arial" w:hAnsi="Arial" w:cs="Arial"/>
        </w:rPr>
        <w:t>)</w:t>
      </w:r>
      <w:r w:rsidR="00354084" w:rsidRPr="00EF2EDC">
        <w:rPr>
          <w:rFonts w:ascii="Arial" w:hAnsi="Arial" w:cs="Arial"/>
        </w:rPr>
        <w:t xml:space="preserve"> target of £</w:t>
      </w:r>
      <w:r w:rsidR="008265F2">
        <w:rPr>
          <w:rFonts w:ascii="Arial" w:hAnsi="Arial" w:cs="Arial"/>
        </w:rPr>
        <w:t>3.3</w:t>
      </w:r>
      <w:r w:rsidR="00CD7A94">
        <w:rPr>
          <w:rFonts w:ascii="Arial" w:hAnsi="Arial" w:cs="Arial"/>
        </w:rPr>
        <w:t>8</w:t>
      </w:r>
      <w:r w:rsidR="00354084" w:rsidRPr="00EF2EDC">
        <w:rPr>
          <w:rFonts w:ascii="Arial" w:hAnsi="Arial" w:cs="Arial"/>
        </w:rPr>
        <w:t>m,</w:t>
      </w:r>
      <w:r w:rsidR="0015424C">
        <w:rPr>
          <w:rFonts w:ascii="Arial" w:hAnsi="Arial" w:cs="Arial"/>
        </w:rPr>
        <w:t xml:space="preserve"> reporting £</w:t>
      </w:r>
      <w:r w:rsidR="008265F2">
        <w:rPr>
          <w:rFonts w:ascii="Arial" w:hAnsi="Arial" w:cs="Arial"/>
        </w:rPr>
        <w:t>100</w:t>
      </w:r>
      <w:r w:rsidR="00354084">
        <w:rPr>
          <w:rFonts w:ascii="Arial" w:hAnsi="Arial" w:cs="Arial"/>
        </w:rPr>
        <w:t>k favourable performance against plan at this stage</w:t>
      </w:r>
      <w:r w:rsidR="00354084" w:rsidRPr="00EF2EDC">
        <w:rPr>
          <w:rFonts w:ascii="Arial" w:hAnsi="Arial" w:cs="Arial"/>
        </w:rPr>
        <w:t xml:space="preserve">. </w:t>
      </w:r>
      <w:r w:rsidR="00354084">
        <w:rPr>
          <w:rFonts w:ascii="Arial" w:hAnsi="Arial" w:cs="Arial"/>
        </w:rPr>
        <w:t>This is ahead of the planned trajectory and</w:t>
      </w:r>
      <w:r w:rsidR="008265F2">
        <w:rPr>
          <w:rFonts w:ascii="Arial" w:hAnsi="Arial" w:cs="Arial"/>
        </w:rPr>
        <w:t xml:space="preserve"> efficiency projects forecast </w:t>
      </w:r>
      <w:r w:rsidR="00960971">
        <w:rPr>
          <w:rFonts w:ascii="Arial" w:hAnsi="Arial" w:cs="Arial"/>
        </w:rPr>
        <w:t xml:space="preserve">achieving </w:t>
      </w:r>
      <w:r w:rsidR="00354084">
        <w:rPr>
          <w:rFonts w:ascii="Arial" w:hAnsi="Arial" w:cs="Arial"/>
        </w:rPr>
        <w:t>our Board efficiency savings annual target.</w:t>
      </w:r>
    </w:p>
    <w:p w:rsidR="00354084" w:rsidRDefault="00354084" w:rsidP="00486236">
      <w:pPr>
        <w:rPr>
          <w:rFonts w:ascii="Arial" w:hAnsi="Arial" w:cs="Arial"/>
        </w:rPr>
      </w:pPr>
    </w:p>
    <w:p w:rsidR="00354084" w:rsidRDefault="0015424C" w:rsidP="00E23B04">
      <w:pPr>
        <w:ind w:left="360"/>
        <w:rPr>
          <w:rFonts w:ascii="Arial" w:hAnsi="Arial" w:cs="Arial"/>
        </w:rPr>
      </w:pPr>
      <w:r>
        <w:rPr>
          <w:rFonts w:ascii="Arial" w:hAnsi="Arial" w:cs="Arial"/>
        </w:rPr>
        <w:t>The</w:t>
      </w:r>
      <w:r w:rsidR="00354084" w:rsidRPr="00EF2EDC">
        <w:rPr>
          <w:rFonts w:ascii="Arial" w:hAnsi="Arial" w:cs="Arial"/>
        </w:rPr>
        <w:t xml:space="preserve"> </w:t>
      </w:r>
      <w:r w:rsidR="00354084">
        <w:rPr>
          <w:rFonts w:ascii="Arial" w:hAnsi="Arial" w:cs="Arial"/>
        </w:rPr>
        <w:t xml:space="preserve">savings achieved to date are </w:t>
      </w:r>
      <w:r w:rsidR="00354084" w:rsidRPr="00EF2EDC">
        <w:rPr>
          <w:rFonts w:ascii="Arial" w:hAnsi="Arial" w:cs="Arial"/>
        </w:rPr>
        <w:t>split with recurring efficiency</w:t>
      </w:r>
      <w:r w:rsidRPr="00EF2EDC">
        <w:rPr>
          <w:rFonts w:ascii="Arial" w:hAnsi="Arial" w:cs="Arial"/>
        </w:rPr>
        <w:t xml:space="preserve"> </w:t>
      </w:r>
      <w:r w:rsidR="00354084" w:rsidRPr="00EF2EDC">
        <w:rPr>
          <w:rFonts w:ascii="Arial" w:hAnsi="Arial" w:cs="Arial"/>
        </w:rPr>
        <w:t xml:space="preserve">savings achieved </w:t>
      </w:r>
      <w:r>
        <w:rPr>
          <w:rFonts w:ascii="Arial" w:hAnsi="Arial" w:cs="Arial"/>
        </w:rPr>
        <w:t xml:space="preserve">of </w:t>
      </w:r>
      <w:r w:rsidR="00354084" w:rsidRPr="00EF2EDC">
        <w:rPr>
          <w:rFonts w:ascii="Arial" w:hAnsi="Arial" w:cs="Arial"/>
        </w:rPr>
        <w:t>£</w:t>
      </w:r>
      <w:r w:rsidR="008265F2">
        <w:rPr>
          <w:rFonts w:ascii="Arial" w:hAnsi="Arial" w:cs="Arial"/>
        </w:rPr>
        <w:t>2.67</w:t>
      </w:r>
      <w:r w:rsidR="00354084">
        <w:rPr>
          <w:rFonts w:ascii="Arial" w:hAnsi="Arial" w:cs="Arial"/>
        </w:rPr>
        <w:t>m</w:t>
      </w:r>
      <w:r w:rsidR="00354084" w:rsidRPr="00EF2EDC">
        <w:rPr>
          <w:rFonts w:ascii="Arial" w:hAnsi="Arial" w:cs="Arial"/>
        </w:rPr>
        <w:t xml:space="preserve"> and non recurring savings of £</w:t>
      </w:r>
      <w:r>
        <w:rPr>
          <w:rFonts w:ascii="Arial" w:hAnsi="Arial" w:cs="Arial"/>
        </w:rPr>
        <w:t>0.</w:t>
      </w:r>
      <w:r w:rsidR="008265F2">
        <w:rPr>
          <w:rFonts w:ascii="Arial" w:hAnsi="Arial" w:cs="Arial"/>
        </w:rPr>
        <w:t>811</w:t>
      </w:r>
      <w:r w:rsidR="00354084">
        <w:rPr>
          <w:rFonts w:ascii="Arial" w:hAnsi="Arial" w:cs="Arial"/>
        </w:rPr>
        <w:t>m</w:t>
      </w:r>
      <w:r>
        <w:rPr>
          <w:rFonts w:ascii="Arial" w:hAnsi="Arial" w:cs="Arial"/>
        </w:rPr>
        <w:t xml:space="preserve">. </w:t>
      </w:r>
      <w:r w:rsidR="00354084" w:rsidRPr="00EF2EDC">
        <w:rPr>
          <w:rFonts w:ascii="Arial" w:hAnsi="Arial" w:cs="Arial"/>
        </w:rPr>
        <w:t>Details of this are included in Appendix 1, page 5.</w:t>
      </w:r>
      <w:r w:rsidR="00354084" w:rsidRPr="0005218C">
        <w:rPr>
          <w:rFonts w:ascii="Arial" w:hAnsi="Arial" w:cs="Arial"/>
        </w:rPr>
        <w:t xml:space="preserve">  </w:t>
      </w:r>
    </w:p>
    <w:p w:rsidR="00354084" w:rsidRDefault="00354084" w:rsidP="00E23B04">
      <w:pPr>
        <w:ind w:left="360"/>
        <w:rPr>
          <w:rFonts w:ascii="Arial" w:hAnsi="Arial" w:cs="Arial"/>
        </w:rPr>
      </w:pPr>
    </w:p>
    <w:p w:rsidR="00354084" w:rsidRPr="008265F2" w:rsidRDefault="00354084" w:rsidP="008265F2">
      <w:pPr>
        <w:pStyle w:val="BodyTextIndent3"/>
        <w:ind w:left="1080"/>
        <w:jc w:val="left"/>
        <w:rPr>
          <w:rFonts w:ascii="Arial" w:hAnsi="Arial" w:cs="Arial"/>
        </w:rPr>
      </w:pPr>
    </w:p>
    <w:p w:rsidR="00354084" w:rsidRDefault="00354084" w:rsidP="00E23B04">
      <w:pPr>
        <w:pStyle w:val="Heading4"/>
        <w:numPr>
          <w:ilvl w:val="0"/>
          <w:numId w:val="3"/>
        </w:numPr>
        <w:rPr>
          <w:rFonts w:ascii="Arial" w:hAnsi="Arial" w:cs="Arial"/>
        </w:rPr>
      </w:pPr>
      <w:r w:rsidRPr="00FB7212">
        <w:rPr>
          <w:rFonts w:ascii="Arial" w:hAnsi="Arial" w:cs="Arial"/>
        </w:rPr>
        <w:lastRenderedPageBreak/>
        <w:t>Conclusion</w:t>
      </w:r>
    </w:p>
    <w:p w:rsidR="00354084" w:rsidRPr="00FB7212" w:rsidRDefault="00354084">
      <w:pPr>
        <w:rPr>
          <w:rFonts w:ascii="Arial" w:hAnsi="Arial" w:cs="Arial"/>
          <w:b/>
          <w:bCs/>
          <w:sz w:val="16"/>
          <w:szCs w:val="20"/>
        </w:rPr>
      </w:pPr>
    </w:p>
    <w:p w:rsidR="00354084" w:rsidRPr="00700075" w:rsidRDefault="00354084" w:rsidP="00700075">
      <w:pPr>
        <w:pStyle w:val="BodyTextIndent2"/>
        <w:ind w:left="360"/>
        <w:jc w:val="left"/>
        <w:rPr>
          <w:rFonts w:ascii="Arial" w:hAnsi="Arial" w:cs="Arial"/>
          <w:bCs w:val="0"/>
          <w:iCs w:val="0"/>
        </w:rPr>
      </w:pPr>
      <w:r w:rsidRPr="00FB7212">
        <w:rPr>
          <w:rFonts w:ascii="Arial" w:hAnsi="Arial" w:cs="Arial"/>
          <w:bCs w:val="0"/>
          <w:iCs w:val="0"/>
        </w:rPr>
        <w:t xml:space="preserve">Members are asked to </w:t>
      </w:r>
      <w:r w:rsidR="00213C2C">
        <w:rPr>
          <w:rFonts w:ascii="Arial" w:hAnsi="Arial" w:cs="Arial"/>
          <w:bCs w:val="0"/>
          <w:iCs w:val="0"/>
        </w:rPr>
        <w:t xml:space="preserve">discuss and </w:t>
      </w:r>
      <w:r w:rsidRPr="00FB7212">
        <w:rPr>
          <w:rFonts w:ascii="Arial" w:hAnsi="Arial" w:cs="Arial"/>
          <w:bCs w:val="0"/>
          <w:iCs w:val="0"/>
        </w:rPr>
        <w:t xml:space="preserve">note this finance report for the period ended </w:t>
      </w:r>
      <w:r w:rsidR="00DC3AED">
        <w:rPr>
          <w:rFonts w:ascii="Arial" w:hAnsi="Arial" w:cs="Arial"/>
          <w:bCs w:val="0"/>
          <w:iCs w:val="0"/>
        </w:rPr>
        <w:t>31 Decem</w:t>
      </w:r>
      <w:r w:rsidR="00CC30C3">
        <w:rPr>
          <w:rFonts w:ascii="Arial" w:hAnsi="Arial" w:cs="Arial"/>
          <w:bCs w:val="0"/>
          <w:iCs w:val="0"/>
        </w:rPr>
        <w:t>ber 2017</w:t>
      </w:r>
      <w:r w:rsidRPr="00FB7212">
        <w:rPr>
          <w:rFonts w:ascii="Arial" w:hAnsi="Arial" w:cs="Arial"/>
          <w:bCs w:val="0"/>
          <w:iCs w:val="0"/>
        </w:rPr>
        <w:t>.</w:t>
      </w:r>
    </w:p>
    <w:p w:rsidR="00354084" w:rsidRDefault="00354084">
      <w:pPr>
        <w:pStyle w:val="Heading2"/>
        <w:rPr>
          <w:rFonts w:ascii="Arial" w:hAnsi="Arial" w:cs="Arial"/>
          <w:bCs w:val="0"/>
        </w:rPr>
      </w:pPr>
    </w:p>
    <w:p w:rsidR="00354084" w:rsidRPr="00FB7212" w:rsidRDefault="00354084">
      <w:pPr>
        <w:pStyle w:val="Heading2"/>
        <w:rPr>
          <w:rFonts w:ascii="Arial" w:hAnsi="Arial" w:cs="Arial"/>
          <w:bCs w:val="0"/>
        </w:rPr>
      </w:pPr>
      <w:r w:rsidRPr="00FB7212">
        <w:rPr>
          <w:rFonts w:ascii="Arial" w:hAnsi="Arial" w:cs="Arial"/>
          <w:bCs w:val="0"/>
        </w:rPr>
        <w:t>Julie Carter</w:t>
      </w:r>
    </w:p>
    <w:p w:rsidR="00354084" w:rsidRPr="00FB7212" w:rsidRDefault="00354084">
      <w:pPr>
        <w:rPr>
          <w:rFonts w:ascii="Arial" w:hAnsi="Arial" w:cs="Arial"/>
          <w:b/>
        </w:rPr>
      </w:pPr>
      <w:r w:rsidRPr="00FB7212">
        <w:rPr>
          <w:rFonts w:ascii="Arial" w:hAnsi="Arial" w:cs="Arial"/>
          <w:b/>
        </w:rPr>
        <w:t>Director of Finance</w:t>
      </w:r>
    </w:p>
    <w:p w:rsidR="00354084" w:rsidRDefault="00DD4718" w:rsidP="00700075">
      <w:pPr>
        <w:rPr>
          <w:rFonts w:ascii="Arial" w:hAnsi="Arial" w:cs="Arial"/>
          <w:b/>
        </w:rPr>
      </w:pPr>
      <w:r>
        <w:rPr>
          <w:rFonts w:ascii="Arial" w:hAnsi="Arial" w:cs="Arial"/>
          <w:b/>
        </w:rPr>
        <w:t>30</w:t>
      </w:r>
      <w:r w:rsidR="00DC3AED">
        <w:rPr>
          <w:rFonts w:ascii="Arial" w:hAnsi="Arial" w:cs="Arial"/>
          <w:b/>
        </w:rPr>
        <w:t xml:space="preserve"> January 2018</w:t>
      </w:r>
    </w:p>
    <w:p w:rsidR="00354084" w:rsidRDefault="00354084" w:rsidP="00700075">
      <w:pPr>
        <w:rPr>
          <w:rFonts w:ascii="Arial" w:hAnsi="Arial" w:cs="Arial"/>
          <w:b/>
        </w:rPr>
      </w:pPr>
    </w:p>
    <w:p w:rsidR="00FB0189" w:rsidRDefault="00FB0189" w:rsidP="00FB0189">
      <w:pPr>
        <w:pStyle w:val="BodyTextIndent"/>
        <w:ind w:left="0"/>
        <w:rPr>
          <w:rFonts w:ascii="Arial" w:hAnsi="Arial" w:cs="Arial"/>
        </w:rPr>
      </w:pPr>
      <w:r w:rsidRPr="00B47B01">
        <w:rPr>
          <w:rFonts w:ascii="Arial" w:hAnsi="Arial" w:cs="Arial"/>
        </w:rPr>
        <w:t xml:space="preserve">(Lily Bryson – </w:t>
      </w:r>
      <w:r>
        <w:rPr>
          <w:rFonts w:ascii="Arial" w:hAnsi="Arial" w:cs="Arial"/>
        </w:rPr>
        <w:t>Assistant</w:t>
      </w:r>
      <w:r w:rsidRPr="00B47B01">
        <w:rPr>
          <w:rFonts w:ascii="Arial" w:hAnsi="Arial" w:cs="Arial"/>
        </w:rPr>
        <w:t xml:space="preserve"> Director of Finance</w:t>
      </w:r>
      <w:r>
        <w:rPr>
          <w:rFonts w:ascii="Arial" w:hAnsi="Arial" w:cs="Arial"/>
        </w:rPr>
        <w:t xml:space="preserve"> – Governance and Financial Accounting)</w:t>
      </w:r>
    </w:p>
    <w:p w:rsidR="00FB0189" w:rsidRPr="0072590E" w:rsidRDefault="00FB0189" w:rsidP="00FB0189">
      <w:pPr>
        <w:pStyle w:val="BodyTextIndent"/>
        <w:ind w:left="0"/>
        <w:rPr>
          <w:rFonts w:ascii="Arial" w:hAnsi="Arial" w:cs="Arial"/>
        </w:rPr>
      </w:pPr>
      <w:r>
        <w:rPr>
          <w:rFonts w:ascii="Arial" w:hAnsi="Arial" w:cs="Arial"/>
        </w:rPr>
        <w:t>(Elizabeth O’Brien – Assistant Director of Finance – Financial Management)</w:t>
      </w:r>
    </w:p>
    <w:p w:rsidR="00FB0189" w:rsidRPr="0072590E" w:rsidRDefault="00FB0189" w:rsidP="00FB0189"/>
    <w:p w:rsidR="00354084" w:rsidRPr="0072590E" w:rsidRDefault="00354084" w:rsidP="00DC65E6">
      <w:pPr>
        <w:keepNext/>
        <w:tabs>
          <w:tab w:val="left" w:pos="2970"/>
        </w:tabs>
        <w:outlineLvl w:val="5"/>
      </w:pPr>
    </w:p>
    <w:sectPr w:rsidR="00354084" w:rsidRPr="0072590E" w:rsidSect="00FB0189">
      <w:footerReference w:type="even" r:id="rId8"/>
      <w:footerReference w:type="default" r:id="rId9"/>
      <w:footerReference w:type="first" r:id="rId10"/>
      <w:pgSz w:w="11906" w:h="16838"/>
      <w:pgMar w:top="1440" w:right="1133" w:bottom="1440"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BC4" w:rsidRDefault="00673BC4">
      <w:r>
        <w:separator/>
      </w:r>
    </w:p>
  </w:endnote>
  <w:endnote w:type="continuationSeparator" w:id="0">
    <w:p w:rsidR="00673BC4" w:rsidRDefault="00673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189" w:rsidRDefault="009E35F8">
    <w:pPr>
      <w:pStyle w:val="Footer"/>
      <w:framePr w:wrap="around" w:vAnchor="text" w:hAnchor="margin" w:xAlign="center" w:y="1"/>
      <w:rPr>
        <w:rStyle w:val="PageNumber"/>
      </w:rPr>
    </w:pPr>
    <w:r>
      <w:rPr>
        <w:rStyle w:val="PageNumber"/>
      </w:rPr>
      <w:fldChar w:fldCharType="begin"/>
    </w:r>
    <w:r w:rsidR="00FB0189">
      <w:rPr>
        <w:rStyle w:val="PageNumber"/>
      </w:rPr>
      <w:instrText xml:space="preserve">PAGE  </w:instrText>
    </w:r>
    <w:r>
      <w:rPr>
        <w:rStyle w:val="PageNumber"/>
      </w:rPr>
      <w:fldChar w:fldCharType="end"/>
    </w:r>
  </w:p>
  <w:p w:rsidR="00FB0189" w:rsidRDefault="00FB01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189" w:rsidRDefault="00FB0189" w:rsidP="00FB0189">
    <w:pPr>
      <w:jc w:val="center"/>
      <w:rPr>
        <w:rStyle w:val="PageNumber"/>
        <w:rFonts w:ascii="Arial" w:hAnsi="Arial" w:cs="Arial"/>
      </w:rPr>
    </w:pPr>
    <w:r>
      <w:rPr>
        <w:rStyle w:val="PageNumber"/>
        <w:rFonts w:ascii="Arial" w:hAnsi="Arial" w:cs="Arial"/>
      </w:rPr>
      <w:t>______________________________________________________________________</w:t>
    </w:r>
    <w:r>
      <w:rPr>
        <w:rStyle w:val="PageNumber"/>
        <w:rFonts w:ascii="Arial" w:hAnsi="Arial" w:cs="Arial"/>
      </w:rPr>
      <w:br/>
    </w:r>
    <w:r w:rsidR="009E35F8" w:rsidRPr="00513DB0">
      <w:rPr>
        <w:rStyle w:val="PageNumber"/>
        <w:rFonts w:ascii="Arial" w:hAnsi="Arial" w:cs="Arial"/>
      </w:rPr>
      <w:fldChar w:fldCharType="begin"/>
    </w:r>
    <w:r w:rsidRPr="00513DB0">
      <w:rPr>
        <w:rStyle w:val="PageNumber"/>
        <w:rFonts w:ascii="Arial" w:hAnsi="Arial" w:cs="Arial"/>
      </w:rPr>
      <w:instrText xml:space="preserve"> PAGE </w:instrText>
    </w:r>
    <w:r w:rsidR="009E35F8" w:rsidRPr="00513DB0">
      <w:rPr>
        <w:rStyle w:val="PageNumber"/>
        <w:rFonts w:ascii="Arial" w:hAnsi="Arial" w:cs="Arial"/>
      </w:rPr>
      <w:fldChar w:fldCharType="separate"/>
    </w:r>
    <w:r w:rsidR="00DC65E6">
      <w:rPr>
        <w:rStyle w:val="PageNumber"/>
        <w:rFonts w:ascii="Arial" w:hAnsi="Arial" w:cs="Arial"/>
        <w:noProof/>
      </w:rPr>
      <w:t>4</w:t>
    </w:r>
    <w:r w:rsidR="009E35F8" w:rsidRPr="00513DB0">
      <w:rPr>
        <w:rStyle w:val="PageNumber"/>
        <w:rFonts w:ascii="Arial" w:hAnsi="Arial" w:cs="Arial"/>
      </w:rPr>
      <w:fldChar w:fldCharType="end"/>
    </w:r>
  </w:p>
  <w:p w:rsidR="00FB0189" w:rsidRDefault="00FB0189" w:rsidP="00FB0189">
    <w:pPr>
      <w:jc w:val="center"/>
      <w:rPr>
        <w:rStyle w:val="PageNumber"/>
        <w:rFonts w:ascii="Arial" w:hAnsi="Arial" w:cs="Arial"/>
      </w:rPr>
    </w:pPr>
  </w:p>
  <w:p w:rsidR="00FB0189" w:rsidRPr="00513DB0" w:rsidRDefault="00FB0189" w:rsidP="00FB0189">
    <w:pPr>
      <w:jc w:val="center"/>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189" w:rsidRPr="00513DB0" w:rsidRDefault="00FB0189" w:rsidP="00FB0189">
    <w:pPr>
      <w:jc w:val="center"/>
      <w:rPr>
        <w:rFonts w:ascii="Arial" w:hAnsi="Arial" w:cs="Arial"/>
        <w:sz w:val="20"/>
        <w:szCs w:val="20"/>
      </w:rPr>
    </w:pPr>
    <w:r>
      <w:rPr>
        <w:rFonts w:ascii="Arial" w:hAnsi="Arial" w:cs="Arial"/>
        <w:noProof/>
        <w:lang w:eastAsia="en-GB"/>
      </w:rPr>
      <w:drawing>
        <wp:anchor distT="0" distB="0" distL="114300" distR="114300" simplePos="0" relativeHeight="251664384" behindDoc="0" locked="0" layoutInCell="1" allowOverlap="1">
          <wp:simplePos x="0" y="0"/>
          <wp:positionH relativeFrom="column">
            <wp:posOffset>5590540</wp:posOffset>
          </wp:positionH>
          <wp:positionV relativeFrom="paragraph">
            <wp:posOffset>324485</wp:posOffset>
          </wp:positionV>
          <wp:extent cx="523875" cy="342900"/>
          <wp:effectExtent l="19050" t="0" r="9525" b="0"/>
          <wp:wrapNone/>
          <wp:docPr id="8"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23875" cy="342900"/>
                  </a:xfrm>
                  <a:prstGeom prst="rect">
                    <a:avLst/>
                  </a:prstGeom>
                  <a:noFill/>
                  <a:ln w="9525">
                    <a:noFill/>
                    <a:miter lim="800000"/>
                    <a:headEnd/>
                    <a:tailEnd/>
                  </a:ln>
                </pic:spPr>
              </pic:pic>
            </a:graphicData>
          </a:graphic>
        </wp:anchor>
      </w:drawing>
    </w:r>
    <w:r>
      <w:rPr>
        <w:rStyle w:val="PageNumber"/>
        <w:rFonts w:ascii="Arial" w:hAnsi="Arial" w:cs="Arial"/>
      </w:rPr>
      <w:t>______________________________________________________________________</w:t>
    </w:r>
    <w:r>
      <w:rPr>
        <w:rStyle w:val="PageNumber"/>
        <w:rFonts w:ascii="Arial" w:hAnsi="Arial" w:cs="Arial"/>
      </w:rPr>
      <w:br/>
    </w:r>
    <w:r w:rsidR="009E35F8" w:rsidRPr="00513DB0">
      <w:rPr>
        <w:rStyle w:val="PageNumber"/>
        <w:rFonts w:ascii="Arial" w:hAnsi="Arial" w:cs="Arial"/>
      </w:rPr>
      <w:fldChar w:fldCharType="begin"/>
    </w:r>
    <w:r w:rsidRPr="00513DB0">
      <w:rPr>
        <w:rStyle w:val="PageNumber"/>
        <w:rFonts w:ascii="Arial" w:hAnsi="Arial" w:cs="Arial"/>
      </w:rPr>
      <w:instrText xml:space="preserve"> PAGE </w:instrText>
    </w:r>
    <w:r w:rsidR="009E35F8" w:rsidRPr="00513DB0">
      <w:rPr>
        <w:rStyle w:val="PageNumber"/>
        <w:rFonts w:ascii="Arial" w:hAnsi="Arial" w:cs="Arial"/>
      </w:rPr>
      <w:fldChar w:fldCharType="separate"/>
    </w:r>
    <w:r w:rsidR="00DC65E6">
      <w:rPr>
        <w:rStyle w:val="PageNumber"/>
        <w:rFonts w:ascii="Arial" w:hAnsi="Arial" w:cs="Arial"/>
        <w:noProof/>
      </w:rPr>
      <w:t>1</w:t>
    </w:r>
    <w:r w:rsidR="009E35F8" w:rsidRPr="00513DB0">
      <w:rPr>
        <w:rStyle w:val="PageNumber"/>
        <w:rFonts w:ascii="Arial" w:hAnsi="Arial" w:cs="Arial"/>
      </w:rPr>
      <w:fldChar w:fldCharType="end"/>
    </w:r>
  </w:p>
  <w:p w:rsidR="00FB0189" w:rsidRPr="008F5DB5" w:rsidRDefault="00FB0189" w:rsidP="00FB0189">
    <w:pPr>
      <w:ind w:right="184"/>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FB0189" w:rsidRPr="00FB0189" w:rsidRDefault="00FB0189" w:rsidP="00FB0189">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r w:rsidRPr="00381369">
      <w:rPr>
        <w:rFonts w:ascii="Arial" w:hAnsi="Arial" w:cs="Arial"/>
        <w:noProof/>
        <w:sz w:val="18"/>
        <w:szCs w:val="18"/>
        <w:lang w:eastAsia="en-G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BC4" w:rsidRDefault="00673BC4">
      <w:r>
        <w:separator/>
      </w:r>
    </w:p>
  </w:footnote>
  <w:footnote w:type="continuationSeparator" w:id="0">
    <w:p w:rsidR="00673BC4" w:rsidRDefault="00673B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5C29"/>
    <w:multiLevelType w:val="hybridMultilevel"/>
    <w:tmpl w:val="BBB45C72"/>
    <w:lvl w:ilvl="0" w:tplc="0809000F">
      <w:start w:val="1"/>
      <w:numFmt w:val="decimal"/>
      <w:lvlText w:val="%1."/>
      <w:lvlJc w:val="left"/>
      <w:pPr>
        <w:tabs>
          <w:tab w:val="num" w:pos="720"/>
        </w:tabs>
        <w:ind w:left="720" w:hanging="360"/>
      </w:pPr>
      <w:rPr>
        <w:rFonts w:cs="Times New Roman"/>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
    <w:nsid w:val="06DA08B4"/>
    <w:multiLevelType w:val="hybridMultilevel"/>
    <w:tmpl w:val="9FC250F0"/>
    <w:lvl w:ilvl="0" w:tplc="08090005">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
    <w:nsid w:val="0C70680D"/>
    <w:multiLevelType w:val="hybridMultilevel"/>
    <w:tmpl w:val="856C0C2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C95545C"/>
    <w:multiLevelType w:val="hybridMultilevel"/>
    <w:tmpl w:val="32A417D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EA33E99"/>
    <w:multiLevelType w:val="hybridMultilevel"/>
    <w:tmpl w:val="DFF08718"/>
    <w:lvl w:ilvl="0" w:tplc="08090001">
      <w:start w:val="1"/>
      <w:numFmt w:val="bullet"/>
      <w:lvlText w:val=""/>
      <w:lvlJc w:val="left"/>
      <w:pPr>
        <w:tabs>
          <w:tab w:val="num" w:pos="1929"/>
        </w:tabs>
        <w:ind w:left="1929" w:hanging="360"/>
      </w:pPr>
      <w:rPr>
        <w:rFonts w:ascii="Symbol" w:hAnsi="Symbol"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5">
    <w:nsid w:val="13695B77"/>
    <w:multiLevelType w:val="hybridMultilevel"/>
    <w:tmpl w:val="07FA8064"/>
    <w:lvl w:ilvl="0" w:tplc="08090001">
      <w:start w:val="1"/>
      <w:numFmt w:val="bullet"/>
      <w:lvlText w:val=""/>
      <w:lvlJc w:val="left"/>
      <w:pPr>
        <w:tabs>
          <w:tab w:val="num" w:pos="1209"/>
        </w:tabs>
        <w:ind w:left="1209" w:hanging="360"/>
      </w:pPr>
      <w:rPr>
        <w:rFonts w:ascii="Symbol" w:hAnsi="Symbol"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6">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E107F92"/>
    <w:multiLevelType w:val="hybridMultilevel"/>
    <w:tmpl w:val="5120AFD6"/>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11A08EA"/>
    <w:multiLevelType w:val="hybridMultilevel"/>
    <w:tmpl w:val="43265D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21F31CA"/>
    <w:multiLevelType w:val="hybridMultilevel"/>
    <w:tmpl w:val="B66E19E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26843D27"/>
    <w:multiLevelType w:val="hybridMultilevel"/>
    <w:tmpl w:val="9A202766"/>
    <w:lvl w:ilvl="0" w:tplc="2F7E5AC2">
      <w:numFmt w:val="none"/>
      <w:lvlText w:val=""/>
      <w:lvlJc w:val="left"/>
      <w:pPr>
        <w:tabs>
          <w:tab w:val="num" w:pos="1209"/>
        </w:tabs>
        <w:ind w:left="1209" w:hanging="360"/>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2AE97005"/>
    <w:multiLevelType w:val="hybridMultilevel"/>
    <w:tmpl w:val="63C60B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30A6168A"/>
    <w:multiLevelType w:val="hybridMultilevel"/>
    <w:tmpl w:val="8F1815CA"/>
    <w:lvl w:ilvl="0" w:tplc="08090001">
      <w:start w:val="1"/>
      <w:numFmt w:val="bullet"/>
      <w:lvlText w:val=""/>
      <w:lvlJc w:val="left"/>
      <w:pPr>
        <w:tabs>
          <w:tab w:val="num" w:pos="1209"/>
        </w:tabs>
        <w:ind w:left="1209" w:hanging="360"/>
      </w:pPr>
      <w:rPr>
        <w:rFonts w:ascii="Symbol" w:hAnsi="Symbol"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3">
    <w:nsid w:val="328D0BD5"/>
    <w:multiLevelType w:val="hybridMultilevel"/>
    <w:tmpl w:val="31E46A84"/>
    <w:lvl w:ilvl="0" w:tplc="6FEC19C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4531CC7"/>
    <w:multiLevelType w:val="hybridMultilevel"/>
    <w:tmpl w:val="47E4618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42A90430"/>
    <w:multiLevelType w:val="hybridMultilevel"/>
    <w:tmpl w:val="E68E6D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409443A"/>
    <w:multiLevelType w:val="hybridMultilevel"/>
    <w:tmpl w:val="074EBA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7956434"/>
    <w:multiLevelType w:val="hybridMultilevel"/>
    <w:tmpl w:val="3AF0515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81A51E5"/>
    <w:multiLevelType w:val="hybridMultilevel"/>
    <w:tmpl w:val="AC48D4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0">
    <w:nsid w:val="4E804CC5"/>
    <w:multiLevelType w:val="hybridMultilevel"/>
    <w:tmpl w:val="F9861640"/>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556F4A96"/>
    <w:multiLevelType w:val="hybridMultilevel"/>
    <w:tmpl w:val="D1622FF8"/>
    <w:lvl w:ilvl="0" w:tplc="08090005">
      <w:start w:val="1"/>
      <w:numFmt w:val="bullet"/>
      <w:lvlText w:val=""/>
      <w:lvlJc w:val="left"/>
      <w:pPr>
        <w:ind w:left="1434" w:hanging="360"/>
      </w:pPr>
      <w:rPr>
        <w:rFonts w:ascii="Wingdings" w:hAnsi="Wingdings" w:hint="default"/>
      </w:rPr>
    </w:lvl>
    <w:lvl w:ilvl="1" w:tplc="08090003" w:tentative="1">
      <w:start w:val="1"/>
      <w:numFmt w:val="bullet"/>
      <w:lvlText w:val="o"/>
      <w:lvlJc w:val="left"/>
      <w:pPr>
        <w:ind w:left="2154" w:hanging="360"/>
      </w:pPr>
      <w:rPr>
        <w:rFonts w:ascii="Courier New" w:hAnsi="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2">
    <w:nsid w:val="573435A7"/>
    <w:multiLevelType w:val="hybridMultilevel"/>
    <w:tmpl w:val="EBD8439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57470963"/>
    <w:multiLevelType w:val="hybridMultilevel"/>
    <w:tmpl w:val="B084264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5DE26EB1"/>
    <w:multiLevelType w:val="hybridMultilevel"/>
    <w:tmpl w:val="C100937C"/>
    <w:lvl w:ilvl="0" w:tplc="08090001">
      <w:start w:val="1"/>
      <w:numFmt w:val="bullet"/>
      <w:lvlText w:val=""/>
      <w:lvlJc w:val="left"/>
      <w:pPr>
        <w:tabs>
          <w:tab w:val="num" w:pos="1929"/>
        </w:tabs>
        <w:ind w:left="1929" w:hanging="360"/>
      </w:pPr>
      <w:rPr>
        <w:rFonts w:ascii="Symbol" w:hAnsi="Symbol"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5">
    <w:nsid w:val="5E01092C"/>
    <w:multiLevelType w:val="hybridMultilevel"/>
    <w:tmpl w:val="1264DD8E"/>
    <w:lvl w:ilvl="0" w:tplc="08090001">
      <w:start w:val="1"/>
      <w:numFmt w:val="bullet"/>
      <w:lvlText w:val=""/>
      <w:lvlJc w:val="left"/>
      <w:pPr>
        <w:tabs>
          <w:tab w:val="num" w:pos="1929"/>
        </w:tabs>
        <w:ind w:left="1929" w:hanging="360"/>
      </w:pPr>
      <w:rPr>
        <w:rFonts w:ascii="Symbol" w:hAnsi="Symbol"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6">
    <w:nsid w:val="61763E3D"/>
    <w:multiLevelType w:val="hybridMultilevel"/>
    <w:tmpl w:val="34D09578"/>
    <w:lvl w:ilvl="0" w:tplc="08090001">
      <w:start w:val="1"/>
      <w:numFmt w:val="bullet"/>
      <w:lvlText w:val=""/>
      <w:lvlJc w:val="left"/>
      <w:pPr>
        <w:tabs>
          <w:tab w:val="num" w:pos="1929"/>
        </w:tabs>
        <w:ind w:left="1929" w:hanging="360"/>
      </w:pPr>
      <w:rPr>
        <w:rFonts w:ascii="Symbol" w:hAnsi="Symbol"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7">
    <w:nsid w:val="67D4066C"/>
    <w:multiLevelType w:val="hybridMultilevel"/>
    <w:tmpl w:val="0ABC497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6C9309C3"/>
    <w:multiLevelType w:val="hybridMultilevel"/>
    <w:tmpl w:val="5B0067A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6E66146A"/>
    <w:multiLevelType w:val="hybridMultilevel"/>
    <w:tmpl w:val="AEA22BEA"/>
    <w:lvl w:ilvl="0" w:tplc="08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3DD38B5"/>
    <w:multiLevelType w:val="hybridMultilevel"/>
    <w:tmpl w:val="FF2CD9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0"/>
  </w:num>
  <w:num w:numId="2">
    <w:abstractNumId w:val="6"/>
  </w:num>
  <w:num w:numId="3">
    <w:abstractNumId w:val="19"/>
  </w:num>
  <w:num w:numId="4">
    <w:abstractNumId w:val="3"/>
  </w:num>
  <w:num w:numId="5">
    <w:abstractNumId w:val="13"/>
  </w:num>
  <w:num w:numId="6">
    <w:abstractNumId w:val="20"/>
  </w:num>
  <w:num w:numId="7">
    <w:abstractNumId w:val="24"/>
  </w:num>
  <w:num w:numId="8">
    <w:abstractNumId w:val="4"/>
  </w:num>
  <w:num w:numId="9">
    <w:abstractNumId w:val="25"/>
  </w:num>
  <w:num w:numId="10">
    <w:abstractNumId w:val="26"/>
  </w:num>
  <w:num w:numId="11">
    <w:abstractNumId w:val="5"/>
  </w:num>
  <w:num w:numId="12">
    <w:abstractNumId w:val="12"/>
  </w:num>
  <w:num w:numId="13">
    <w:abstractNumId w:val="10"/>
  </w:num>
  <w:num w:numId="14">
    <w:abstractNumId w:val="15"/>
  </w:num>
  <w:num w:numId="15">
    <w:abstractNumId w:val="16"/>
  </w:num>
  <w:num w:numId="16">
    <w:abstractNumId w:val="2"/>
  </w:num>
  <w:num w:numId="17">
    <w:abstractNumId w:val="23"/>
  </w:num>
  <w:num w:numId="18">
    <w:abstractNumId w:val="27"/>
  </w:num>
  <w:num w:numId="19">
    <w:abstractNumId w:val="28"/>
  </w:num>
  <w:num w:numId="20">
    <w:abstractNumId w:val="22"/>
  </w:num>
  <w:num w:numId="21">
    <w:abstractNumId w:val="7"/>
  </w:num>
  <w:num w:numId="22">
    <w:abstractNumId w:val="1"/>
  </w:num>
  <w:num w:numId="23">
    <w:abstractNumId w:val="18"/>
  </w:num>
  <w:num w:numId="24">
    <w:abstractNumId w:val="21"/>
  </w:num>
  <w:num w:numId="25">
    <w:abstractNumId w:val="29"/>
  </w:num>
  <w:num w:numId="26">
    <w:abstractNumId w:val="6"/>
  </w:num>
  <w:num w:numId="27">
    <w:abstractNumId w:val="14"/>
  </w:num>
  <w:num w:numId="28">
    <w:abstractNumId w:val="17"/>
  </w:num>
  <w:num w:numId="29">
    <w:abstractNumId w:val="0"/>
  </w:num>
  <w:num w:numId="30">
    <w:abstractNumId w:val="9"/>
  </w:num>
  <w:num w:numId="31">
    <w:abstractNumId w:val="11"/>
  </w:num>
  <w:num w:numId="32">
    <w:abstractNumId w:val="31"/>
  </w:num>
  <w:num w:numId="33">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FB336D"/>
    <w:rsid w:val="00000F06"/>
    <w:rsid w:val="0000132B"/>
    <w:rsid w:val="00001527"/>
    <w:rsid w:val="0000285F"/>
    <w:rsid w:val="00003BA2"/>
    <w:rsid w:val="00003FDE"/>
    <w:rsid w:val="00004D48"/>
    <w:rsid w:val="00005332"/>
    <w:rsid w:val="00006A27"/>
    <w:rsid w:val="00010752"/>
    <w:rsid w:val="000109B5"/>
    <w:rsid w:val="00011464"/>
    <w:rsid w:val="00012511"/>
    <w:rsid w:val="00012CBD"/>
    <w:rsid w:val="00012E8E"/>
    <w:rsid w:val="00013353"/>
    <w:rsid w:val="000139FF"/>
    <w:rsid w:val="00014394"/>
    <w:rsid w:val="0001480E"/>
    <w:rsid w:val="00015CDD"/>
    <w:rsid w:val="00016364"/>
    <w:rsid w:val="0002265D"/>
    <w:rsid w:val="000229D5"/>
    <w:rsid w:val="00024055"/>
    <w:rsid w:val="0002462C"/>
    <w:rsid w:val="0002593B"/>
    <w:rsid w:val="00025E0E"/>
    <w:rsid w:val="000300CC"/>
    <w:rsid w:val="00033D76"/>
    <w:rsid w:val="00035B44"/>
    <w:rsid w:val="000368A0"/>
    <w:rsid w:val="00037BDB"/>
    <w:rsid w:val="00042215"/>
    <w:rsid w:val="00046A38"/>
    <w:rsid w:val="00047281"/>
    <w:rsid w:val="00047593"/>
    <w:rsid w:val="00050092"/>
    <w:rsid w:val="000508F5"/>
    <w:rsid w:val="000511E4"/>
    <w:rsid w:val="00051606"/>
    <w:rsid w:val="0005218C"/>
    <w:rsid w:val="00054AAB"/>
    <w:rsid w:val="00054BED"/>
    <w:rsid w:val="00055D47"/>
    <w:rsid w:val="0005653D"/>
    <w:rsid w:val="00063D44"/>
    <w:rsid w:val="00066501"/>
    <w:rsid w:val="00067A08"/>
    <w:rsid w:val="00070079"/>
    <w:rsid w:val="00070944"/>
    <w:rsid w:val="00070995"/>
    <w:rsid w:val="00071906"/>
    <w:rsid w:val="00071EF7"/>
    <w:rsid w:val="000720A5"/>
    <w:rsid w:val="00073359"/>
    <w:rsid w:val="00073B67"/>
    <w:rsid w:val="00073EAC"/>
    <w:rsid w:val="00075AC9"/>
    <w:rsid w:val="00080DF1"/>
    <w:rsid w:val="00083231"/>
    <w:rsid w:val="00084583"/>
    <w:rsid w:val="00087181"/>
    <w:rsid w:val="000902EB"/>
    <w:rsid w:val="00091273"/>
    <w:rsid w:val="00092034"/>
    <w:rsid w:val="000926A0"/>
    <w:rsid w:val="000948B7"/>
    <w:rsid w:val="000960E7"/>
    <w:rsid w:val="0009682F"/>
    <w:rsid w:val="0009687F"/>
    <w:rsid w:val="0009748B"/>
    <w:rsid w:val="000A0883"/>
    <w:rsid w:val="000A2B44"/>
    <w:rsid w:val="000A2EE7"/>
    <w:rsid w:val="000A5520"/>
    <w:rsid w:val="000A5C42"/>
    <w:rsid w:val="000A6C7F"/>
    <w:rsid w:val="000A6D15"/>
    <w:rsid w:val="000A764C"/>
    <w:rsid w:val="000A7CFA"/>
    <w:rsid w:val="000A7F27"/>
    <w:rsid w:val="000B1409"/>
    <w:rsid w:val="000B2165"/>
    <w:rsid w:val="000B486D"/>
    <w:rsid w:val="000B4B47"/>
    <w:rsid w:val="000B4D45"/>
    <w:rsid w:val="000B4E84"/>
    <w:rsid w:val="000B51BA"/>
    <w:rsid w:val="000B5912"/>
    <w:rsid w:val="000B5F03"/>
    <w:rsid w:val="000C0989"/>
    <w:rsid w:val="000C1756"/>
    <w:rsid w:val="000C206A"/>
    <w:rsid w:val="000C231D"/>
    <w:rsid w:val="000C337E"/>
    <w:rsid w:val="000C3724"/>
    <w:rsid w:val="000C3B78"/>
    <w:rsid w:val="000C409D"/>
    <w:rsid w:val="000C43D7"/>
    <w:rsid w:val="000C4CDC"/>
    <w:rsid w:val="000C4EB2"/>
    <w:rsid w:val="000C65C2"/>
    <w:rsid w:val="000C686E"/>
    <w:rsid w:val="000C6C23"/>
    <w:rsid w:val="000C6DA3"/>
    <w:rsid w:val="000C72A4"/>
    <w:rsid w:val="000D1AF1"/>
    <w:rsid w:val="000D2300"/>
    <w:rsid w:val="000D2BCE"/>
    <w:rsid w:val="000D4198"/>
    <w:rsid w:val="000D5271"/>
    <w:rsid w:val="000D6985"/>
    <w:rsid w:val="000D6E08"/>
    <w:rsid w:val="000D6E46"/>
    <w:rsid w:val="000D70A7"/>
    <w:rsid w:val="000D735F"/>
    <w:rsid w:val="000E0750"/>
    <w:rsid w:val="000E18C2"/>
    <w:rsid w:val="000E20CD"/>
    <w:rsid w:val="000E37D6"/>
    <w:rsid w:val="000E3C1C"/>
    <w:rsid w:val="000E52CC"/>
    <w:rsid w:val="000E5968"/>
    <w:rsid w:val="000E62BC"/>
    <w:rsid w:val="000E6A81"/>
    <w:rsid w:val="000F0820"/>
    <w:rsid w:val="000F180F"/>
    <w:rsid w:val="000F196C"/>
    <w:rsid w:val="000F1E27"/>
    <w:rsid w:val="000F4524"/>
    <w:rsid w:val="000F4B4A"/>
    <w:rsid w:val="000F68FF"/>
    <w:rsid w:val="000F6B12"/>
    <w:rsid w:val="00100C3E"/>
    <w:rsid w:val="00101D3B"/>
    <w:rsid w:val="00101FE6"/>
    <w:rsid w:val="00102448"/>
    <w:rsid w:val="00102BAE"/>
    <w:rsid w:val="00102CE2"/>
    <w:rsid w:val="0010443F"/>
    <w:rsid w:val="00104F21"/>
    <w:rsid w:val="001059E0"/>
    <w:rsid w:val="001059E2"/>
    <w:rsid w:val="00106911"/>
    <w:rsid w:val="001112BF"/>
    <w:rsid w:val="00113D96"/>
    <w:rsid w:val="001142CD"/>
    <w:rsid w:val="00114405"/>
    <w:rsid w:val="00114D93"/>
    <w:rsid w:val="00115344"/>
    <w:rsid w:val="001175E5"/>
    <w:rsid w:val="0012200E"/>
    <w:rsid w:val="001226E2"/>
    <w:rsid w:val="00122905"/>
    <w:rsid w:val="0012468E"/>
    <w:rsid w:val="00124827"/>
    <w:rsid w:val="00127E89"/>
    <w:rsid w:val="00130724"/>
    <w:rsid w:val="00133DA9"/>
    <w:rsid w:val="00133F4C"/>
    <w:rsid w:val="001356B2"/>
    <w:rsid w:val="001362D0"/>
    <w:rsid w:val="00136F19"/>
    <w:rsid w:val="001405EA"/>
    <w:rsid w:val="00140C75"/>
    <w:rsid w:val="00141287"/>
    <w:rsid w:val="0014179B"/>
    <w:rsid w:val="0014195E"/>
    <w:rsid w:val="001422B2"/>
    <w:rsid w:val="00142AEE"/>
    <w:rsid w:val="00142CE8"/>
    <w:rsid w:val="001440B6"/>
    <w:rsid w:val="001474C6"/>
    <w:rsid w:val="00151CD2"/>
    <w:rsid w:val="0015424C"/>
    <w:rsid w:val="00155452"/>
    <w:rsid w:val="001563EB"/>
    <w:rsid w:val="00157D84"/>
    <w:rsid w:val="00160F5D"/>
    <w:rsid w:val="0016170C"/>
    <w:rsid w:val="00161CEF"/>
    <w:rsid w:val="001621BC"/>
    <w:rsid w:val="0016240B"/>
    <w:rsid w:val="00162FF3"/>
    <w:rsid w:val="00165814"/>
    <w:rsid w:val="00165D71"/>
    <w:rsid w:val="00166314"/>
    <w:rsid w:val="00173B29"/>
    <w:rsid w:val="00173DB6"/>
    <w:rsid w:val="001759F9"/>
    <w:rsid w:val="001764A8"/>
    <w:rsid w:val="00176DC7"/>
    <w:rsid w:val="001801C9"/>
    <w:rsid w:val="00180A53"/>
    <w:rsid w:val="00181E6B"/>
    <w:rsid w:val="00182C06"/>
    <w:rsid w:val="001830FA"/>
    <w:rsid w:val="001840A2"/>
    <w:rsid w:val="00184793"/>
    <w:rsid w:val="00184CAE"/>
    <w:rsid w:val="00186C0F"/>
    <w:rsid w:val="001917FA"/>
    <w:rsid w:val="00191A55"/>
    <w:rsid w:val="00193533"/>
    <w:rsid w:val="00193F7B"/>
    <w:rsid w:val="00194198"/>
    <w:rsid w:val="001978E6"/>
    <w:rsid w:val="001A262F"/>
    <w:rsid w:val="001A4162"/>
    <w:rsid w:val="001A43C7"/>
    <w:rsid w:val="001A624A"/>
    <w:rsid w:val="001A6F98"/>
    <w:rsid w:val="001A7988"/>
    <w:rsid w:val="001B0DDC"/>
    <w:rsid w:val="001B141F"/>
    <w:rsid w:val="001B272D"/>
    <w:rsid w:val="001B338E"/>
    <w:rsid w:val="001B3610"/>
    <w:rsid w:val="001B3888"/>
    <w:rsid w:val="001B5C7E"/>
    <w:rsid w:val="001B5D6D"/>
    <w:rsid w:val="001B6494"/>
    <w:rsid w:val="001B6DA2"/>
    <w:rsid w:val="001B79D4"/>
    <w:rsid w:val="001B7F7D"/>
    <w:rsid w:val="001C064C"/>
    <w:rsid w:val="001C1571"/>
    <w:rsid w:val="001C187E"/>
    <w:rsid w:val="001C2164"/>
    <w:rsid w:val="001C278B"/>
    <w:rsid w:val="001C37E0"/>
    <w:rsid w:val="001C4B6F"/>
    <w:rsid w:val="001C4DA3"/>
    <w:rsid w:val="001C4EB7"/>
    <w:rsid w:val="001C6E82"/>
    <w:rsid w:val="001C793A"/>
    <w:rsid w:val="001D0B89"/>
    <w:rsid w:val="001D0D92"/>
    <w:rsid w:val="001D2C34"/>
    <w:rsid w:val="001D3457"/>
    <w:rsid w:val="001D3E4F"/>
    <w:rsid w:val="001D5364"/>
    <w:rsid w:val="001D567C"/>
    <w:rsid w:val="001E096A"/>
    <w:rsid w:val="001E0D3E"/>
    <w:rsid w:val="001E0D99"/>
    <w:rsid w:val="001E0FE0"/>
    <w:rsid w:val="001E1FC3"/>
    <w:rsid w:val="001E24EB"/>
    <w:rsid w:val="001E26E5"/>
    <w:rsid w:val="001E2FF2"/>
    <w:rsid w:val="001E57A2"/>
    <w:rsid w:val="001E6186"/>
    <w:rsid w:val="001E7BB0"/>
    <w:rsid w:val="001F01A3"/>
    <w:rsid w:val="001F073B"/>
    <w:rsid w:val="001F1861"/>
    <w:rsid w:val="001F4C51"/>
    <w:rsid w:val="001F7195"/>
    <w:rsid w:val="001F76BF"/>
    <w:rsid w:val="001F7E6A"/>
    <w:rsid w:val="0020128F"/>
    <w:rsid w:val="0020277F"/>
    <w:rsid w:val="002028B1"/>
    <w:rsid w:val="002029F5"/>
    <w:rsid w:val="00203312"/>
    <w:rsid w:val="0020398A"/>
    <w:rsid w:val="00203A65"/>
    <w:rsid w:val="002058F7"/>
    <w:rsid w:val="0020693E"/>
    <w:rsid w:val="00206BF6"/>
    <w:rsid w:val="002073F5"/>
    <w:rsid w:val="00211F87"/>
    <w:rsid w:val="002125A9"/>
    <w:rsid w:val="00213119"/>
    <w:rsid w:val="00213BD2"/>
    <w:rsid w:val="00213C2C"/>
    <w:rsid w:val="002143DD"/>
    <w:rsid w:val="00216005"/>
    <w:rsid w:val="00217287"/>
    <w:rsid w:val="002173DA"/>
    <w:rsid w:val="002178A3"/>
    <w:rsid w:val="00217BB1"/>
    <w:rsid w:val="002209CB"/>
    <w:rsid w:val="00220A4F"/>
    <w:rsid w:val="002211AB"/>
    <w:rsid w:val="002213C8"/>
    <w:rsid w:val="00221F62"/>
    <w:rsid w:val="00222D0A"/>
    <w:rsid w:val="00223052"/>
    <w:rsid w:val="002235AA"/>
    <w:rsid w:val="00223BF4"/>
    <w:rsid w:val="00227D83"/>
    <w:rsid w:val="00230C33"/>
    <w:rsid w:val="0023366A"/>
    <w:rsid w:val="00236544"/>
    <w:rsid w:val="00237472"/>
    <w:rsid w:val="0024032B"/>
    <w:rsid w:val="002409CF"/>
    <w:rsid w:val="00241542"/>
    <w:rsid w:val="0024247D"/>
    <w:rsid w:val="00243387"/>
    <w:rsid w:val="002450A1"/>
    <w:rsid w:val="00245960"/>
    <w:rsid w:val="00247375"/>
    <w:rsid w:val="00247ECE"/>
    <w:rsid w:val="00250E70"/>
    <w:rsid w:val="00251A22"/>
    <w:rsid w:val="002523B4"/>
    <w:rsid w:val="00252768"/>
    <w:rsid w:val="002555FC"/>
    <w:rsid w:val="002558AF"/>
    <w:rsid w:val="00255F24"/>
    <w:rsid w:val="00256BC9"/>
    <w:rsid w:val="00256FE7"/>
    <w:rsid w:val="002618B5"/>
    <w:rsid w:val="00261F97"/>
    <w:rsid w:val="00262EC5"/>
    <w:rsid w:val="002631D8"/>
    <w:rsid w:val="0026349F"/>
    <w:rsid w:val="00267FCD"/>
    <w:rsid w:val="002700AB"/>
    <w:rsid w:val="00271BFB"/>
    <w:rsid w:val="002734B4"/>
    <w:rsid w:val="002736D8"/>
    <w:rsid w:val="002743A7"/>
    <w:rsid w:val="002748ED"/>
    <w:rsid w:val="00275CAF"/>
    <w:rsid w:val="0028008B"/>
    <w:rsid w:val="00282E36"/>
    <w:rsid w:val="00284D39"/>
    <w:rsid w:val="00284DB7"/>
    <w:rsid w:val="002850A1"/>
    <w:rsid w:val="0028554C"/>
    <w:rsid w:val="0028582B"/>
    <w:rsid w:val="00286D8D"/>
    <w:rsid w:val="00287271"/>
    <w:rsid w:val="00287D8B"/>
    <w:rsid w:val="00290643"/>
    <w:rsid w:val="002942C5"/>
    <w:rsid w:val="002942E3"/>
    <w:rsid w:val="0029480A"/>
    <w:rsid w:val="0029561E"/>
    <w:rsid w:val="00296723"/>
    <w:rsid w:val="00297424"/>
    <w:rsid w:val="002A3807"/>
    <w:rsid w:val="002A3FB7"/>
    <w:rsid w:val="002A4762"/>
    <w:rsid w:val="002A4CAF"/>
    <w:rsid w:val="002A5AA9"/>
    <w:rsid w:val="002A5ABF"/>
    <w:rsid w:val="002B2699"/>
    <w:rsid w:val="002B2E2A"/>
    <w:rsid w:val="002B512B"/>
    <w:rsid w:val="002B5417"/>
    <w:rsid w:val="002B5AD3"/>
    <w:rsid w:val="002B614C"/>
    <w:rsid w:val="002B6E78"/>
    <w:rsid w:val="002C0196"/>
    <w:rsid w:val="002C057D"/>
    <w:rsid w:val="002C21A8"/>
    <w:rsid w:val="002C43BF"/>
    <w:rsid w:val="002C47DA"/>
    <w:rsid w:val="002C4AFE"/>
    <w:rsid w:val="002C5573"/>
    <w:rsid w:val="002C5703"/>
    <w:rsid w:val="002C5E9D"/>
    <w:rsid w:val="002C74ED"/>
    <w:rsid w:val="002C7EC9"/>
    <w:rsid w:val="002D1770"/>
    <w:rsid w:val="002D180A"/>
    <w:rsid w:val="002D186D"/>
    <w:rsid w:val="002D1884"/>
    <w:rsid w:val="002D1A20"/>
    <w:rsid w:val="002D25AA"/>
    <w:rsid w:val="002D2C21"/>
    <w:rsid w:val="002D318A"/>
    <w:rsid w:val="002D3C8D"/>
    <w:rsid w:val="002D55BF"/>
    <w:rsid w:val="002D5A29"/>
    <w:rsid w:val="002D778E"/>
    <w:rsid w:val="002E209D"/>
    <w:rsid w:val="002E2942"/>
    <w:rsid w:val="002E2B79"/>
    <w:rsid w:val="002E2C72"/>
    <w:rsid w:val="002E2D8B"/>
    <w:rsid w:val="002E3101"/>
    <w:rsid w:val="002E5196"/>
    <w:rsid w:val="002E5291"/>
    <w:rsid w:val="002E52E9"/>
    <w:rsid w:val="002E54AC"/>
    <w:rsid w:val="002E68DC"/>
    <w:rsid w:val="002E6C31"/>
    <w:rsid w:val="002E7F84"/>
    <w:rsid w:val="002F1B13"/>
    <w:rsid w:val="002F1C93"/>
    <w:rsid w:val="002F39A0"/>
    <w:rsid w:val="002F56B8"/>
    <w:rsid w:val="002F5917"/>
    <w:rsid w:val="002F5C06"/>
    <w:rsid w:val="00300BA7"/>
    <w:rsid w:val="00300E35"/>
    <w:rsid w:val="00301ACE"/>
    <w:rsid w:val="00304ECD"/>
    <w:rsid w:val="00304EF6"/>
    <w:rsid w:val="003059F6"/>
    <w:rsid w:val="00305EB2"/>
    <w:rsid w:val="00306F69"/>
    <w:rsid w:val="003119B4"/>
    <w:rsid w:val="00311BE5"/>
    <w:rsid w:val="00311F07"/>
    <w:rsid w:val="003122D8"/>
    <w:rsid w:val="003123D2"/>
    <w:rsid w:val="0031289B"/>
    <w:rsid w:val="00312BA3"/>
    <w:rsid w:val="00312C51"/>
    <w:rsid w:val="00312C9B"/>
    <w:rsid w:val="00313E68"/>
    <w:rsid w:val="00314986"/>
    <w:rsid w:val="00316170"/>
    <w:rsid w:val="00316B2E"/>
    <w:rsid w:val="003202CA"/>
    <w:rsid w:val="00320A94"/>
    <w:rsid w:val="00321D1C"/>
    <w:rsid w:val="00321D2E"/>
    <w:rsid w:val="003223BA"/>
    <w:rsid w:val="00322498"/>
    <w:rsid w:val="003235B5"/>
    <w:rsid w:val="003257C2"/>
    <w:rsid w:val="003259C5"/>
    <w:rsid w:val="003263F0"/>
    <w:rsid w:val="003302EE"/>
    <w:rsid w:val="00333BD2"/>
    <w:rsid w:val="003346AE"/>
    <w:rsid w:val="0033702A"/>
    <w:rsid w:val="00337564"/>
    <w:rsid w:val="003412B0"/>
    <w:rsid w:val="00342F03"/>
    <w:rsid w:val="00343E6E"/>
    <w:rsid w:val="00345C97"/>
    <w:rsid w:val="0035105A"/>
    <w:rsid w:val="0035254D"/>
    <w:rsid w:val="00352EC7"/>
    <w:rsid w:val="00354084"/>
    <w:rsid w:val="0035563F"/>
    <w:rsid w:val="00355B17"/>
    <w:rsid w:val="00355DEB"/>
    <w:rsid w:val="003569BA"/>
    <w:rsid w:val="00357751"/>
    <w:rsid w:val="003618A8"/>
    <w:rsid w:val="00361B3A"/>
    <w:rsid w:val="00364CC3"/>
    <w:rsid w:val="003705A2"/>
    <w:rsid w:val="00374F0B"/>
    <w:rsid w:val="00376A41"/>
    <w:rsid w:val="0038105D"/>
    <w:rsid w:val="0038117A"/>
    <w:rsid w:val="003820B2"/>
    <w:rsid w:val="003823EC"/>
    <w:rsid w:val="00384AB9"/>
    <w:rsid w:val="00384F4A"/>
    <w:rsid w:val="0038575D"/>
    <w:rsid w:val="00390485"/>
    <w:rsid w:val="00391148"/>
    <w:rsid w:val="0039323F"/>
    <w:rsid w:val="00393C88"/>
    <w:rsid w:val="00397D2A"/>
    <w:rsid w:val="003A0DAD"/>
    <w:rsid w:val="003A14B3"/>
    <w:rsid w:val="003A24F3"/>
    <w:rsid w:val="003A28F2"/>
    <w:rsid w:val="003A33C1"/>
    <w:rsid w:val="003A3735"/>
    <w:rsid w:val="003A3966"/>
    <w:rsid w:val="003A3A85"/>
    <w:rsid w:val="003A49FF"/>
    <w:rsid w:val="003A6C82"/>
    <w:rsid w:val="003A7F64"/>
    <w:rsid w:val="003B0BA2"/>
    <w:rsid w:val="003B2798"/>
    <w:rsid w:val="003B58F9"/>
    <w:rsid w:val="003B7273"/>
    <w:rsid w:val="003B7391"/>
    <w:rsid w:val="003B7FD1"/>
    <w:rsid w:val="003B7FE1"/>
    <w:rsid w:val="003C0ECC"/>
    <w:rsid w:val="003C29CD"/>
    <w:rsid w:val="003C3541"/>
    <w:rsid w:val="003D1F38"/>
    <w:rsid w:val="003D32BA"/>
    <w:rsid w:val="003D4DC5"/>
    <w:rsid w:val="003D5356"/>
    <w:rsid w:val="003D5C55"/>
    <w:rsid w:val="003D6DE6"/>
    <w:rsid w:val="003D6F41"/>
    <w:rsid w:val="003D78AB"/>
    <w:rsid w:val="003E0BD7"/>
    <w:rsid w:val="003E2D8F"/>
    <w:rsid w:val="003E4918"/>
    <w:rsid w:val="003E5AE1"/>
    <w:rsid w:val="003E6961"/>
    <w:rsid w:val="003F1A1C"/>
    <w:rsid w:val="003F5101"/>
    <w:rsid w:val="003F6BFE"/>
    <w:rsid w:val="003F7320"/>
    <w:rsid w:val="004005A7"/>
    <w:rsid w:val="00406D55"/>
    <w:rsid w:val="004112BC"/>
    <w:rsid w:val="00411DFD"/>
    <w:rsid w:val="004121AB"/>
    <w:rsid w:val="00412BCD"/>
    <w:rsid w:val="00413315"/>
    <w:rsid w:val="00414300"/>
    <w:rsid w:val="00414806"/>
    <w:rsid w:val="004165F0"/>
    <w:rsid w:val="0041727E"/>
    <w:rsid w:val="00417BB2"/>
    <w:rsid w:val="00423D67"/>
    <w:rsid w:val="0042487F"/>
    <w:rsid w:val="004248AB"/>
    <w:rsid w:val="00425231"/>
    <w:rsid w:val="0042666E"/>
    <w:rsid w:val="0042710E"/>
    <w:rsid w:val="00430363"/>
    <w:rsid w:val="004306DE"/>
    <w:rsid w:val="004313F7"/>
    <w:rsid w:val="0043250E"/>
    <w:rsid w:val="004347CC"/>
    <w:rsid w:val="004372E3"/>
    <w:rsid w:val="0044078F"/>
    <w:rsid w:val="00440871"/>
    <w:rsid w:val="00440BA9"/>
    <w:rsid w:val="00440E68"/>
    <w:rsid w:val="00441365"/>
    <w:rsid w:val="00441DC0"/>
    <w:rsid w:val="00441EF1"/>
    <w:rsid w:val="004428D5"/>
    <w:rsid w:val="00442CAB"/>
    <w:rsid w:val="00443357"/>
    <w:rsid w:val="00443BE6"/>
    <w:rsid w:val="00444973"/>
    <w:rsid w:val="0044609D"/>
    <w:rsid w:val="00446A42"/>
    <w:rsid w:val="00446C14"/>
    <w:rsid w:val="00450D1B"/>
    <w:rsid w:val="004516F9"/>
    <w:rsid w:val="00453205"/>
    <w:rsid w:val="0045371B"/>
    <w:rsid w:val="00453CCA"/>
    <w:rsid w:val="004541A5"/>
    <w:rsid w:val="004554FB"/>
    <w:rsid w:val="004561C9"/>
    <w:rsid w:val="00456F17"/>
    <w:rsid w:val="00462FEF"/>
    <w:rsid w:val="004771FF"/>
    <w:rsid w:val="00477B32"/>
    <w:rsid w:val="00477DD3"/>
    <w:rsid w:val="004813F2"/>
    <w:rsid w:val="00482572"/>
    <w:rsid w:val="00482E04"/>
    <w:rsid w:val="004831D6"/>
    <w:rsid w:val="00483BE0"/>
    <w:rsid w:val="00485AD4"/>
    <w:rsid w:val="00486236"/>
    <w:rsid w:val="00486412"/>
    <w:rsid w:val="00486921"/>
    <w:rsid w:val="00487F73"/>
    <w:rsid w:val="00490DAE"/>
    <w:rsid w:val="00490ECC"/>
    <w:rsid w:val="004912CB"/>
    <w:rsid w:val="004919C1"/>
    <w:rsid w:val="0049260B"/>
    <w:rsid w:val="00496099"/>
    <w:rsid w:val="004961B0"/>
    <w:rsid w:val="00496344"/>
    <w:rsid w:val="004967BC"/>
    <w:rsid w:val="004975E7"/>
    <w:rsid w:val="004A05F2"/>
    <w:rsid w:val="004A0A90"/>
    <w:rsid w:val="004A0DD1"/>
    <w:rsid w:val="004A1425"/>
    <w:rsid w:val="004A18D3"/>
    <w:rsid w:val="004A1CF4"/>
    <w:rsid w:val="004A212D"/>
    <w:rsid w:val="004A2782"/>
    <w:rsid w:val="004A33C6"/>
    <w:rsid w:val="004A4680"/>
    <w:rsid w:val="004A47D3"/>
    <w:rsid w:val="004A5911"/>
    <w:rsid w:val="004A5B61"/>
    <w:rsid w:val="004A6909"/>
    <w:rsid w:val="004A7AC5"/>
    <w:rsid w:val="004B1DBC"/>
    <w:rsid w:val="004B21B2"/>
    <w:rsid w:val="004B2728"/>
    <w:rsid w:val="004B3349"/>
    <w:rsid w:val="004B357E"/>
    <w:rsid w:val="004B4AAE"/>
    <w:rsid w:val="004B79DD"/>
    <w:rsid w:val="004C1AAE"/>
    <w:rsid w:val="004C285F"/>
    <w:rsid w:val="004C3D6D"/>
    <w:rsid w:val="004C4208"/>
    <w:rsid w:val="004C4232"/>
    <w:rsid w:val="004C46F2"/>
    <w:rsid w:val="004C510B"/>
    <w:rsid w:val="004C562B"/>
    <w:rsid w:val="004C61BF"/>
    <w:rsid w:val="004D00F2"/>
    <w:rsid w:val="004D0204"/>
    <w:rsid w:val="004D0212"/>
    <w:rsid w:val="004D0C39"/>
    <w:rsid w:val="004D433F"/>
    <w:rsid w:val="004D5BE8"/>
    <w:rsid w:val="004D6FFC"/>
    <w:rsid w:val="004D76AE"/>
    <w:rsid w:val="004E0237"/>
    <w:rsid w:val="004E0C80"/>
    <w:rsid w:val="004E0CB0"/>
    <w:rsid w:val="004E2460"/>
    <w:rsid w:val="004E3236"/>
    <w:rsid w:val="004E3643"/>
    <w:rsid w:val="004E3D8D"/>
    <w:rsid w:val="004E4102"/>
    <w:rsid w:val="004E4B04"/>
    <w:rsid w:val="004E5EEC"/>
    <w:rsid w:val="004E666C"/>
    <w:rsid w:val="004E7128"/>
    <w:rsid w:val="004E7546"/>
    <w:rsid w:val="004F011A"/>
    <w:rsid w:val="004F2771"/>
    <w:rsid w:val="004F42C7"/>
    <w:rsid w:val="004F45B3"/>
    <w:rsid w:val="004F45FF"/>
    <w:rsid w:val="004F5BCD"/>
    <w:rsid w:val="004F5F1D"/>
    <w:rsid w:val="004F626A"/>
    <w:rsid w:val="004F7F35"/>
    <w:rsid w:val="0050123B"/>
    <w:rsid w:val="0050210B"/>
    <w:rsid w:val="005023DE"/>
    <w:rsid w:val="005028A9"/>
    <w:rsid w:val="00504EB3"/>
    <w:rsid w:val="00505171"/>
    <w:rsid w:val="00506024"/>
    <w:rsid w:val="00506FA4"/>
    <w:rsid w:val="00507173"/>
    <w:rsid w:val="005076DB"/>
    <w:rsid w:val="0050779E"/>
    <w:rsid w:val="005100FB"/>
    <w:rsid w:val="00510A67"/>
    <w:rsid w:val="00511C73"/>
    <w:rsid w:val="00512829"/>
    <w:rsid w:val="00512E38"/>
    <w:rsid w:val="005141E7"/>
    <w:rsid w:val="005150DD"/>
    <w:rsid w:val="0051684B"/>
    <w:rsid w:val="0051744C"/>
    <w:rsid w:val="0051795E"/>
    <w:rsid w:val="00517A0C"/>
    <w:rsid w:val="0052029A"/>
    <w:rsid w:val="00521B8C"/>
    <w:rsid w:val="00521D1F"/>
    <w:rsid w:val="00522792"/>
    <w:rsid w:val="005245FF"/>
    <w:rsid w:val="00524847"/>
    <w:rsid w:val="005250A3"/>
    <w:rsid w:val="0052687E"/>
    <w:rsid w:val="005272A0"/>
    <w:rsid w:val="00530252"/>
    <w:rsid w:val="005315D2"/>
    <w:rsid w:val="00532E45"/>
    <w:rsid w:val="00534840"/>
    <w:rsid w:val="00534D03"/>
    <w:rsid w:val="00535349"/>
    <w:rsid w:val="005360F9"/>
    <w:rsid w:val="0053648B"/>
    <w:rsid w:val="005371AE"/>
    <w:rsid w:val="00542798"/>
    <w:rsid w:val="00547862"/>
    <w:rsid w:val="00547F05"/>
    <w:rsid w:val="00550D35"/>
    <w:rsid w:val="00551D25"/>
    <w:rsid w:val="00552F32"/>
    <w:rsid w:val="00553595"/>
    <w:rsid w:val="00554275"/>
    <w:rsid w:val="00554337"/>
    <w:rsid w:val="00554F70"/>
    <w:rsid w:val="0055551B"/>
    <w:rsid w:val="005561F0"/>
    <w:rsid w:val="005562D8"/>
    <w:rsid w:val="00556F32"/>
    <w:rsid w:val="00564A03"/>
    <w:rsid w:val="00566F15"/>
    <w:rsid w:val="005700CB"/>
    <w:rsid w:val="005711E7"/>
    <w:rsid w:val="005712EF"/>
    <w:rsid w:val="005729FB"/>
    <w:rsid w:val="00572BF8"/>
    <w:rsid w:val="005745F0"/>
    <w:rsid w:val="00580EF9"/>
    <w:rsid w:val="00585BEB"/>
    <w:rsid w:val="005867EB"/>
    <w:rsid w:val="0058799A"/>
    <w:rsid w:val="00591EB5"/>
    <w:rsid w:val="0059299E"/>
    <w:rsid w:val="00594963"/>
    <w:rsid w:val="005976D8"/>
    <w:rsid w:val="005A14BB"/>
    <w:rsid w:val="005A1881"/>
    <w:rsid w:val="005A1C6C"/>
    <w:rsid w:val="005A2261"/>
    <w:rsid w:val="005A269F"/>
    <w:rsid w:val="005A355F"/>
    <w:rsid w:val="005A6432"/>
    <w:rsid w:val="005B0715"/>
    <w:rsid w:val="005B0C20"/>
    <w:rsid w:val="005B3FCB"/>
    <w:rsid w:val="005B5C0F"/>
    <w:rsid w:val="005B5D9A"/>
    <w:rsid w:val="005C0C3E"/>
    <w:rsid w:val="005C18BF"/>
    <w:rsid w:val="005C2169"/>
    <w:rsid w:val="005C4788"/>
    <w:rsid w:val="005C677F"/>
    <w:rsid w:val="005C6818"/>
    <w:rsid w:val="005D0667"/>
    <w:rsid w:val="005D1096"/>
    <w:rsid w:val="005D2BAF"/>
    <w:rsid w:val="005D4DD6"/>
    <w:rsid w:val="005D5C84"/>
    <w:rsid w:val="005D7114"/>
    <w:rsid w:val="005D7F3F"/>
    <w:rsid w:val="005E18EA"/>
    <w:rsid w:val="005E1F47"/>
    <w:rsid w:val="005E2398"/>
    <w:rsid w:val="005E34A3"/>
    <w:rsid w:val="005E3925"/>
    <w:rsid w:val="005E42EA"/>
    <w:rsid w:val="005E4414"/>
    <w:rsid w:val="005E56C5"/>
    <w:rsid w:val="005E6127"/>
    <w:rsid w:val="005E6809"/>
    <w:rsid w:val="005E7CD0"/>
    <w:rsid w:val="005F00BE"/>
    <w:rsid w:val="005F09CC"/>
    <w:rsid w:val="005F0E5A"/>
    <w:rsid w:val="005F1ED7"/>
    <w:rsid w:val="005F3D9A"/>
    <w:rsid w:val="005F58EE"/>
    <w:rsid w:val="005F5A90"/>
    <w:rsid w:val="005F5E60"/>
    <w:rsid w:val="005F5F56"/>
    <w:rsid w:val="005F7DF5"/>
    <w:rsid w:val="006001D6"/>
    <w:rsid w:val="00601791"/>
    <w:rsid w:val="006045AC"/>
    <w:rsid w:val="00604A1A"/>
    <w:rsid w:val="00605CC4"/>
    <w:rsid w:val="006071D7"/>
    <w:rsid w:val="0060793F"/>
    <w:rsid w:val="00610257"/>
    <w:rsid w:val="0061091F"/>
    <w:rsid w:val="0061225E"/>
    <w:rsid w:val="00616F1E"/>
    <w:rsid w:val="00617541"/>
    <w:rsid w:val="00617607"/>
    <w:rsid w:val="00620081"/>
    <w:rsid w:val="006200DD"/>
    <w:rsid w:val="006215AA"/>
    <w:rsid w:val="00622900"/>
    <w:rsid w:val="00625968"/>
    <w:rsid w:val="00626A1D"/>
    <w:rsid w:val="00626A5E"/>
    <w:rsid w:val="006303E7"/>
    <w:rsid w:val="0063051C"/>
    <w:rsid w:val="006322EF"/>
    <w:rsid w:val="0063419B"/>
    <w:rsid w:val="00636FFD"/>
    <w:rsid w:val="006414CE"/>
    <w:rsid w:val="006420FD"/>
    <w:rsid w:val="00642DCF"/>
    <w:rsid w:val="00643D70"/>
    <w:rsid w:val="00646288"/>
    <w:rsid w:val="0064739B"/>
    <w:rsid w:val="0065187B"/>
    <w:rsid w:val="006534E3"/>
    <w:rsid w:val="00655247"/>
    <w:rsid w:val="00655282"/>
    <w:rsid w:val="006552F3"/>
    <w:rsid w:val="006562C4"/>
    <w:rsid w:val="00656C33"/>
    <w:rsid w:val="00656CBF"/>
    <w:rsid w:val="00657DC2"/>
    <w:rsid w:val="00661ACA"/>
    <w:rsid w:val="00662789"/>
    <w:rsid w:val="00662A8D"/>
    <w:rsid w:val="00662F96"/>
    <w:rsid w:val="006631E6"/>
    <w:rsid w:val="00663EEA"/>
    <w:rsid w:val="006641B5"/>
    <w:rsid w:val="006641F6"/>
    <w:rsid w:val="006650F2"/>
    <w:rsid w:val="0066566D"/>
    <w:rsid w:val="00665CA6"/>
    <w:rsid w:val="006723B4"/>
    <w:rsid w:val="006739EA"/>
    <w:rsid w:val="00673BC4"/>
    <w:rsid w:val="00674282"/>
    <w:rsid w:val="00677AE5"/>
    <w:rsid w:val="00680EDA"/>
    <w:rsid w:val="0068108E"/>
    <w:rsid w:val="00681423"/>
    <w:rsid w:val="00682309"/>
    <w:rsid w:val="0068381A"/>
    <w:rsid w:val="00683B27"/>
    <w:rsid w:val="00685E91"/>
    <w:rsid w:val="006871F7"/>
    <w:rsid w:val="00690D4F"/>
    <w:rsid w:val="00693B97"/>
    <w:rsid w:val="00693D7A"/>
    <w:rsid w:val="0069574A"/>
    <w:rsid w:val="00696721"/>
    <w:rsid w:val="006973E0"/>
    <w:rsid w:val="006A05DE"/>
    <w:rsid w:val="006A10E6"/>
    <w:rsid w:val="006A1A6C"/>
    <w:rsid w:val="006A23F2"/>
    <w:rsid w:val="006A3042"/>
    <w:rsid w:val="006A30DD"/>
    <w:rsid w:val="006A6CD7"/>
    <w:rsid w:val="006A7DF7"/>
    <w:rsid w:val="006B06BC"/>
    <w:rsid w:val="006B0882"/>
    <w:rsid w:val="006B18EC"/>
    <w:rsid w:val="006C0CFE"/>
    <w:rsid w:val="006C0D89"/>
    <w:rsid w:val="006C162F"/>
    <w:rsid w:val="006C40F4"/>
    <w:rsid w:val="006C5A33"/>
    <w:rsid w:val="006C614E"/>
    <w:rsid w:val="006C701E"/>
    <w:rsid w:val="006C7D52"/>
    <w:rsid w:val="006D4913"/>
    <w:rsid w:val="006D4EC5"/>
    <w:rsid w:val="006D6614"/>
    <w:rsid w:val="006D698C"/>
    <w:rsid w:val="006E01BE"/>
    <w:rsid w:val="006E239E"/>
    <w:rsid w:val="006E41B1"/>
    <w:rsid w:val="006E659C"/>
    <w:rsid w:val="006F1FC6"/>
    <w:rsid w:val="006F2259"/>
    <w:rsid w:val="006F40F4"/>
    <w:rsid w:val="006F4AC5"/>
    <w:rsid w:val="006F4B45"/>
    <w:rsid w:val="006F4C90"/>
    <w:rsid w:val="006F5447"/>
    <w:rsid w:val="006F65EB"/>
    <w:rsid w:val="00700075"/>
    <w:rsid w:val="0070103E"/>
    <w:rsid w:val="007010DF"/>
    <w:rsid w:val="00701119"/>
    <w:rsid w:val="0070196F"/>
    <w:rsid w:val="00703D0C"/>
    <w:rsid w:val="00703D9D"/>
    <w:rsid w:val="007056FB"/>
    <w:rsid w:val="007065D8"/>
    <w:rsid w:val="00706AFD"/>
    <w:rsid w:val="007079FF"/>
    <w:rsid w:val="00710E6B"/>
    <w:rsid w:val="007128F8"/>
    <w:rsid w:val="00714163"/>
    <w:rsid w:val="00714700"/>
    <w:rsid w:val="00714F68"/>
    <w:rsid w:val="007160D2"/>
    <w:rsid w:val="00716346"/>
    <w:rsid w:val="00716350"/>
    <w:rsid w:val="00717EB9"/>
    <w:rsid w:val="0072021F"/>
    <w:rsid w:val="00722796"/>
    <w:rsid w:val="00722A4B"/>
    <w:rsid w:val="007232F7"/>
    <w:rsid w:val="00724558"/>
    <w:rsid w:val="00724C66"/>
    <w:rsid w:val="0072563C"/>
    <w:rsid w:val="0072590E"/>
    <w:rsid w:val="00725D63"/>
    <w:rsid w:val="00730087"/>
    <w:rsid w:val="00730807"/>
    <w:rsid w:val="00731252"/>
    <w:rsid w:val="00734706"/>
    <w:rsid w:val="00734935"/>
    <w:rsid w:val="00734A62"/>
    <w:rsid w:val="00734C85"/>
    <w:rsid w:val="0073542A"/>
    <w:rsid w:val="00735EEF"/>
    <w:rsid w:val="007404A2"/>
    <w:rsid w:val="0074268E"/>
    <w:rsid w:val="007428AF"/>
    <w:rsid w:val="00743ED3"/>
    <w:rsid w:val="00744740"/>
    <w:rsid w:val="007467AB"/>
    <w:rsid w:val="00747F22"/>
    <w:rsid w:val="00750D34"/>
    <w:rsid w:val="00750D8D"/>
    <w:rsid w:val="007511B9"/>
    <w:rsid w:val="00752B16"/>
    <w:rsid w:val="007555E9"/>
    <w:rsid w:val="00755B9C"/>
    <w:rsid w:val="00756B39"/>
    <w:rsid w:val="00760859"/>
    <w:rsid w:val="00760D42"/>
    <w:rsid w:val="007615ED"/>
    <w:rsid w:val="00763CFC"/>
    <w:rsid w:val="00763E29"/>
    <w:rsid w:val="00764664"/>
    <w:rsid w:val="0076667C"/>
    <w:rsid w:val="00766877"/>
    <w:rsid w:val="00766A9D"/>
    <w:rsid w:val="00767C86"/>
    <w:rsid w:val="007704B9"/>
    <w:rsid w:val="00771A48"/>
    <w:rsid w:val="00772470"/>
    <w:rsid w:val="0077331E"/>
    <w:rsid w:val="00774DD5"/>
    <w:rsid w:val="00775876"/>
    <w:rsid w:val="0077692A"/>
    <w:rsid w:val="00776947"/>
    <w:rsid w:val="00777997"/>
    <w:rsid w:val="0078038D"/>
    <w:rsid w:val="0078383C"/>
    <w:rsid w:val="00783A9A"/>
    <w:rsid w:val="007852E6"/>
    <w:rsid w:val="00785C94"/>
    <w:rsid w:val="007864E6"/>
    <w:rsid w:val="00786675"/>
    <w:rsid w:val="00786845"/>
    <w:rsid w:val="0078709B"/>
    <w:rsid w:val="00791790"/>
    <w:rsid w:val="00792A74"/>
    <w:rsid w:val="00794777"/>
    <w:rsid w:val="007955C9"/>
    <w:rsid w:val="00797141"/>
    <w:rsid w:val="00797464"/>
    <w:rsid w:val="00797474"/>
    <w:rsid w:val="007975F7"/>
    <w:rsid w:val="007A12A2"/>
    <w:rsid w:val="007A1A60"/>
    <w:rsid w:val="007A2DB8"/>
    <w:rsid w:val="007A32DD"/>
    <w:rsid w:val="007A3B40"/>
    <w:rsid w:val="007A4F57"/>
    <w:rsid w:val="007A505C"/>
    <w:rsid w:val="007B0712"/>
    <w:rsid w:val="007B3923"/>
    <w:rsid w:val="007B3D48"/>
    <w:rsid w:val="007B6208"/>
    <w:rsid w:val="007B7ED1"/>
    <w:rsid w:val="007C1823"/>
    <w:rsid w:val="007C3F52"/>
    <w:rsid w:val="007C7083"/>
    <w:rsid w:val="007C7614"/>
    <w:rsid w:val="007C7E39"/>
    <w:rsid w:val="007D132B"/>
    <w:rsid w:val="007D15CD"/>
    <w:rsid w:val="007D164C"/>
    <w:rsid w:val="007D1B34"/>
    <w:rsid w:val="007D4370"/>
    <w:rsid w:val="007D4ED7"/>
    <w:rsid w:val="007D5416"/>
    <w:rsid w:val="007D6BFC"/>
    <w:rsid w:val="007D7863"/>
    <w:rsid w:val="007E2D95"/>
    <w:rsid w:val="007E312E"/>
    <w:rsid w:val="007E6289"/>
    <w:rsid w:val="007E656D"/>
    <w:rsid w:val="007E6BA7"/>
    <w:rsid w:val="007E732B"/>
    <w:rsid w:val="007E7A07"/>
    <w:rsid w:val="007F0254"/>
    <w:rsid w:val="007F4D4E"/>
    <w:rsid w:val="007F58F3"/>
    <w:rsid w:val="007F5C94"/>
    <w:rsid w:val="00800802"/>
    <w:rsid w:val="00800D0F"/>
    <w:rsid w:val="00802A24"/>
    <w:rsid w:val="00803546"/>
    <w:rsid w:val="0080367E"/>
    <w:rsid w:val="0080498C"/>
    <w:rsid w:val="00805EA3"/>
    <w:rsid w:val="00805FD7"/>
    <w:rsid w:val="00807C7C"/>
    <w:rsid w:val="00810A57"/>
    <w:rsid w:val="00812B9B"/>
    <w:rsid w:val="00812C63"/>
    <w:rsid w:val="00813362"/>
    <w:rsid w:val="008134F9"/>
    <w:rsid w:val="00813A21"/>
    <w:rsid w:val="00816F10"/>
    <w:rsid w:val="00817C11"/>
    <w:rsid w:val="00820D31"/>
    <w:rsid w:val="0082292D"/>
    <w:rsid w:val="00822F9F"/>
    <w:rsid w:val="00823607"/>
    <w:rsid w:val="0082373E"/>
    <w:rsid w:val="008252E4"/>
    <w:rsid w:val="008263D2"/>
    <w:rsid w:val="008265F2"/>
    <w:rsid w:val="0082756C"/>
    <w:rsid w:val="0083128D"/>
    <w:rsid w:val="008312AB"/>
    <w:rsid w:val="00833F36"/>
    <w:rsid w:val="00834EDE"/>
    <w:rsid w:val="0083535F"/>
    <w:rsid w:val="00837DCA"/>
    <w:rsid w:val="008417DD"/>
    <w:rsid w:val="00841CAC"/>
    <w:rsid w:val="00842FC1"/>
    <w:rsid w:val="0084308A"/>
    <w:rsid w:val="008446C1"/>
    <w:rsid w:val="00845594"/>
    <w:rsid w:val="00845C92"/>
    <w:rsid w:val="00846137"/>
    <w:rsid w:val="008463C2"/>
    <w:rsid w:val="00850CD1"/>
    <w:rsid w:val="008517A6"/>
    <w:rsid w:val="00851DCB"/>
    <w:rsid w:val="00852218"/>
    <w:rsid w:val="00852F8A"/>
    <w:rsid w:val="0085309D"/>
    <w:rsid w:val="00853F75"/>
    <w:rsid w:val="0085469F"/>
    <w:rsid w:val="008560AD"/>
    <w:rsid w:val="00857208"/>
    <w:rsid w:val="00857829"/>
    <w:rsid w:val="008579DF"/>
    <w:rsid w:val="008708F7"/>
    <w:rsid w:val="00871609"/>
    <w:rsid w:val="008734A9"/>
    <w:rsid w:val="00873E85"/>
    <w:rsid w:val="00874707"/>
    <w:rsid w:val="008747BF"/>
    <w:rsid w:val="0087493F"/>
    <w:rsid w:val="008749E9"/>
    <w:rsid w:val="008761FA"/>
    <w:rsid w:val="008763F3"/>
    <w:rsid w:val="00877409"/>
    <w:rsid w:val="008806CC"/>
    <w:rsid w:val="00883696"/>
    <w:rsid w:val="00885640"/>
    <w:rsid w:val="008857CA"/>
    <w:rsid w:val="00886586"/>
    <w:rsid w:val="008877E0"/>
    <w:rsid w:val="00887D12"/>
    <w:rsid w:val="00890353"/>
    <w:rsid w:val="008904D8"/>
    <w:rsid w:val="0089068D"/>
    <w:rsid w:val="0089483D"/>
    <w:rsid w:val="00894B7D"/>
    <w:rsid w:val="00894D6D"/>
    <w:rsid w:val="008952D2"/>
    <w:rsid w:val="0089603E"/>
    <w:rsid w:val="008969D4"/>
    <w:rsid w:val="0089724E"/>
    <w:rsid w:val="00897960"/>
    <w:rsid w:val="008A04BF"/>
    <w:rsid w:val="008A0F1C"/>
    <w:rsid w:val="008A18E4"/>
    <w:rsid w:val="008A3C94"/>
    <w:rsid w:val="008A4D2F"/>
    <w:rsid w:val="008A7D5D"/>
    <w:rsid w:val="008B2A09"/>
    <w:rsid w:val="008B3A75"/>
    <w:rsid w:val="008B4D33"/>
    <w:rsid w:val="008B6279"/>
    <w:rsid w:val="008B679A"/>
    <w:rsid w:val="008B6CF6"/>
    <w:rsid w:val="008C003B"/>
    <w:rsid w:val="008C038A"/>
    <w:rsid w:val="008C0DBD"/>
    <w:rsid w:val="008C0E2D"/>
    <w:rsid w:val="008C3AB6"/>
    <w:rsid w:val="008C3F01"/>
    <w:rsid w:val="008C4A25"/>
    <w:rsid w:val="008C79A7"/>
    <w:rsid w:val="008D01CC"/>
    <w:rsid w:val="008D1757"/>
    <w:rsid w:val="008D2184"/>
    <w:rsid w:val="008D2220"/>
    <w:rsid w:val="008D3D18"/>
    <w:rsid w:val="008D57EF"/>
    <w:rsid w:val="008E1928"/>
    <w:rsid w:val="008E3309"/>
    <w:rsid w:val="008E3F0B"/>
    <w:rsid w:val="008E550B"/>
    <w:rsid w:val="008E578E"/>
    <w:rsid w:val="008E6B17"/>
    <w:rsid w:val="008E7161"/>
    <w:rsid w:val="008F194B"/>
    <w:rsid w:val="008F2CB2"/>
    <w:rsid w:val="008F40E3"/>
    <w:rsid w:val="008F5970"/>
    <w:rsid w:val="008F5DB5"/>
    <w:rsid w:val="008F7728"/>
    <w:rsid w:val="009005D3"/>
    <w:rsid w:val="00902EB0"/>
    <w:rsid w:val="0090485E"/>
    <w:rsid w:val="009065E3"/>
    <w:rsid w:val="009066B9"/>
    <w:rsid w:val="00906A8B"/>
    <w:rsid w:val="00910F4D"/>
    <w:rsid w:val="00911DC0"/>
    <w:rsid w:val="0091221A"/>
    <w:rsid w:val="009133BE"/>
    <w:rsid w:val="00915274"/>
    <w:rsid w:val="009152F8"/>
    <w:rsid w:val="009166E7"/>
    <w:rsid w:val="009168D9"/>
    <w:rsid w:val="00916BA8"/>
    <w:rsid w:val="00916BF1"/>
    <w:rsid w:val="0091742E"/>
    <w:rsid w:val="009205BE"/>
    <w:rsid w:val="0092453C"/>
    <w:rsid w:val="00924DE9"/>
    <w:rsid w:val="00925E26"/>
    <w:rsid w:val="009260AD"/>
    <w:rsid w:val="009323F3"/>
    <w:rsid w:val="00932424"/>
    <w:rsid w:val="00932C0F"/>
    <w:rsid w:val="00933670"/>
    <w:rsid w:val="00934090"/>
    <w:rsid w:val="00934534"/>
    <w:rsid w:val="0093556E"/>
    <w:rsid w:val="00935A8E"/>
    <w:rsid w:val="0093604B"/>
    <w:rsid w:val="00936422"/>
    <w:rsid w:val="00936FD2"/>
    <w:rsid w:val="009404AF"/>
    <w:rsid w:val="00940E45"/>
    <w:rsid w:val="00942434"/>
    <w:rsid w:val="0094387B"/>
    <w:rsid w:val="00945137"/>
    <w:rsid w:val="00946014"/>
    <w:rsid w:val="009462F3"/>
    <w:rsid w:val="00947626"/>
    <w:rsid w:val="00947EBE"/>
    <w:rsid w:val="009500EF"/>
    <w:rsid w:val="009518C7"/>
    <w:rsid w:val="00951C4F"/>
    <w:rsid w:val="00952F1B"/>
    <w:rsid w:val="009537DF"/>
    <w:rsid w:val="009558C0"/>
    <w:rsid w:val="00955E57"/>
    <w:rsid w:val="00956422"/>
    <w:rsid w:val="00960971"/>
    <w:rsid w:val="009610A4"/>
    <w:rsid w:val="00961B97"/>
    <w:rsid w:val="00961E8C"/>
    <w:rsid w:val="00963FF5"/>
    <w:rsid w:val="00964803"/>
    <w:rsid w:val="00965AC0"/>
    <w:rsid w:val="00966A82"/>
    <w:rsid w:val="009670CA"/>
    <w:rsid w:val="00967335"/>
    <w:rsid w:val="00971C2C"/>
    <w:rsid w:val="00974A25"/>
    <w:rsid w:val="00980CC9"/>
    <w:rsid w:val="00981353"/>
    <w:rsid w:val="009820E9"/>
    <w:rsid w:val="00982A0F"/>
    <w:rsid w:val="00982EB2"/>
    <w:rsid w:val="00983422"/>
    <w:rsid w:val="0098342B"/>
    <w:rsid w:val="0098346C"/>
    <w:rsid w:val="00984657"/>
    <w:rsid w:val="00985794"/>
    <w:rsid w:val="00986260"/>
    <w:rsid w:val="00987192"/>
    <w:rsid w:val="009877A1"/>
    <w:rsid w:val="009879ED"/>
    <w:rsid w:val="00990C92"/>
    <w:rsid w:val="00993320"/>
    <w:rsid w:val="00993D86"/>
    <w:rsid w:val="00993DAA"/>
    <w:rsid w:val="00995517"/>
    <w:rsid w:val="009A176F"/>
    <w:rsid w:val="009A55F5"/>
    <w:rsid w:val="009A5612"/>
    <w:rsid w:val="009A5ED2"/>
    <w:rsid w:val="009A69F8"/>
    <w:rsid w:val="009A71B6"/>
    <w:rsid w:val="009A7F98"/>
    <w:rsid w:val="009B0E1D"/>
    <w:rsid w:val="009B15B2"/>
    <w:rsid w:val="009B170E"/>
    <w:rsid w:val="009B2731"/>
    <w:rsid w:val="009B4247"/>
    <w:rsid w:val="009B5661"/>
    <w:rsid w:val="009B6927"/>
    <w:rsid w:val="009B71AD"/>
    <w:rsid w:val="009C05DC"/>
    <w:rsid w:val="009C0737"/>
    <w:rsid w:val="009C088B"/>
    <w:rsid w:val="009C0BE4"/>
    <w:rsid w:val="009C0D9E"/>
    <w:rsid w:val="009C1F6C"/>
    <w:rsid w:val="009C214A"/>
    <w:rsid w:val="009C45EC"/>
    <w:rsid w:val="009C6121"/>
    <w:rsid w:val="009C63FB"/>
    <w:rsid w:val="009C69B5"/>
    <w:rsid w:val="009C6DF7"/>
    <w:rsid w:val="009D0BF4"/>
    <w:rsid w:val="009D0D21"/>
    <w:rsid w:val="009D120E"/>
    <w:rsid w:val="009D1230"/>
    <w:rsid w:val="009D1A4F"/>
    <w:rsid w:val="009D1C7D"/>
    <w:rsid w:val="009D35F5"/>
    <w:rsid w:val="009D479F"/>
    <w:rsid w:val="009D4990"/>
    <w:rsid w:val="009D5481"/>
    <w:rsid w:val="009D5890"/>
    <w:rsid w:val="009D6EFB"/>
    <w:rsid w:val="009D7944"/>
    <w:rsid w:val="009D7A49"/>
    <w:rsid w:val="009E03DD"/>
    <w:rsid w:val="009E08C8"/>
    <w:rsid w:val="009E091A"/>
    <w:rsid w:val="009E198B"/>
    <w:rsid w:val="009E1D1A"/>
    <w:rsid w:val="009E34FF"/>
    <w:rsid w:val="009E35F8"/>
    <w:rsid w:val="009E4C88"/>
    <w:rsid w:val="009E5030"/>
    <w:rsid w:val="009F08B9"/>
    <w:rsid w:val="009F0DBE"/>
    <w:rsid w:val="009F13F1"/>
    <w:rsid w:val="009F2209"/>
    <w:rsid w:val="009F26A8"/>
    <w:rsid w:val="009F2C31"/>
    <w:rsid w:val="009F2E44"/>
    <w:rsid w:val="009F36FC"/>
    <w:rsid w:val="009F3E03"/>
    <w:rsid w:val="009F4C0F"/>
    <w:rsid w:val="00A00E94"/>
    <w:rsid w:val="00A027C1"/>
    <w:rsid w:val="00A03F67"/>
    <w:rsid w:val="00A0420A"/>
    <w:rsid w:val="00A04444"/>
    <w:rsid w:val="00A04DC9"/>
    <w:rsid w:val="00A06E15"/>
    <w:rsid w:val="00A073F1"/>
    <w:rsid w:val="00A07FF6"/>
    <w:rsid w:val="00A119BD"/>
    <w:rsid w:val="00A12016"/>
    <w:rsid w:val="00A12B05"/>
    <w:rsid w:val="00A15FE8"/>
    <w:rsid w:val="00A161A0"/>
    <w:rsid w:val="00A16984"/>
    <w:rsid w:val="00A208E4"/>
    <w:rsid w:val="00A20E11"/>
    <w:rsid w:val="00A22D12"/>
    <w:rsid w:val="00A23A55"/>
    <w:rsid w:val="00A2403A"/>
    <w:rsid w:val="00A24622"/>
    <w:rsid w:val="00A24FBD"/>
    <w:rsid w:val="00A250F2"/>
    <w:rsid w:val="00A27E30"/>
    <w:rsid w:val="00A32C24"/>
    <w:rsid w:val="00A352CB"/>
    <w:rsid w:val="00A364AA"/>
    <w:rsid w:val="00A36637"/>
    <w:rsid w:val="00A36E7F"/>
    <w:rsid w:val="00A37836"/>
    <w:rsid w:val="00A379C7"/>
    <w:rsid w:val="00A37AC1"/>
    <w:rsid w:val="00A37D2A"/>
    <w:rsid w:val="00A40388"/>
    <w:rsid w:val="00A44BE0"/>
    <w:rsid w:val="00A44E99"/>
    <w:rsid w:val="00A4528C"/>
    <w:rsid w:val="00A46007"/>
    <w:rsid w:val="00A47DC8"/>
    <w:rsid w:val="00A52272"/>
    <w:rsid w:val="00A52958"/>
    <w:rsid w:val="00A52CAA"/>
    <w:rsid w:val="00A5386A"/>
    <w:rsid w:val="00A54D3A"/>
    <w:rsid w:val="00A5586C"/>
    <w:rsid w:val="00A56341"/>
    <w:rsid w:val="00A57255"/>
    <w:rsid w:val="00A57AAA"/>
    <w:rsid w:val="00A607EE"/>
    <w:rsid w:val="00A60FD7"/>
    <w:rsid w:val="00A63426"/>
    <w:rsid w:val="00A634A9"/>
    <w:rsid w:val="00A636AF"/>
    <w:rsid w:val="00A6488F"/>
    <w:rsid w:val="00A6721C"/>
    <w:rsid w:val="00A70CEB"/>
    <w:rsid w:val="00A70DA0"/>
    <w:rsid w:val="00A710D4"/>
    <w:rsid w:val="00A71DDE"/>
    <w:rsid w:val="00A7272E"/>
    <w:rsid w:val="00A73111"/>
    <w:rsid w:val="00A734B0"/>
    <w:rsid w:val="00A73668"/>
    <w:rsid w:val="00A73C63"/>
    <w:rsid w:val="00A7499C"/>
    <w:rsid w:val="00A76E35"/>
    <w:rsid w:val="00A802C7"/>
    <w:rsid w:val="00A803D2"/>
    <w:rsid w:val="00A8160E"/>
    <w:rsid w:val="00A832D4"/>
    <w:rsid w:val="00A8382E"/>
    <w:rsid w:val="00A83DD3"/>
    <w:rsid w:val="00A84A6B"/>
    <w:rsid w:val="00A84AE5"/>
    <w:rsid w:val="00A90D71"/>
    <w:rsid w:val="00A90E6C"/>
    <w:rsid w:val="00A91C41"/>
    <w:rsid w:val="00A9222C"/>
    <w:rsid w:val="00A94352"/>
    <w:rsid w:val="00A97D09"/>
    <w:rsid w:val="00AA2287"/>
    <w:rsid w:val="00AA3732"/>
    <w:rsid w:val="00AA3E72"/>
    <w:rsid w:val="00AA7422"/>
    <w:rsid w:val="00AA7FCE"/>
    <w:rsid w:val="00AB0E9A"/>
    <w:rsid w:val="00AB2208"/>
    <w:rsid w:val="00AB292B"/>
    <w:rsid w:val="00AB3436"/>
    <w:rsid w:val="00AB47DC"/>
    <w:rsid w:val="00AB4AEA"/>
    <w:rsid w:val="00AB50A5"/>
    <w:rsid w:val="00AB5A03"/>
    <w:rsid w:val="00AB5CE3"/>
    <w:rsid w:val="00AB66B2"/>
    <w:rsid w:val="00AB7884"/>
    <w:rsid w:val="00AC0F5B"/>
    <w:rsid w:val="00AC2788"/>
    <w:rsid w:val="00AC2D29"/>
    <w:rsid w:val="00AC3841"/>
    <w:rsid w:val="00AC3FC7"/>
    <w:rsid w:val="00AC4085"/>
    <w:rsid w:val="00AC46EE"/>
    <w:rsid w:val="00AC59A7"/>
    <w:rsid w:val="00AD1FF6"/>
    <w:rsid w:val="00AD2C46"/>
    <w:rsid w:val="00AD36F5"/>
    <w:rsid w:val="00AD3D05"/>
    <w:rsid w:val="00AD796D"/>
    <w:rsid w:val="00AE0806"/>
    <w:rsid w:val="00AE15E7"/>
    <w:rsid w:val="00AE28C0"/>
    <w:rsid w:val="00AE3271"/>
    <w:rsid w:val="00AE3F33"/>
    <w:rsid w:val="00AE51ED"/>
    <w:rsid w:val="00AE5EB2"/>
    <w:rsid w:val="00AE79FF"/>
    <w:rsid w:val="00AE7AFF"/>
    <w:rsid w:val="00AF0500"/>
    <w:rsid w:val="00AF20D9"/>
    <w:rsid w:val="00AF2471"/>
    <w:rsid w:val="00AF2E51"/>
    <w:rsid w:val="00AF2F98"/>
    <w:rsid w:val="00AF60A9"/>
    <w:rsid w:val="00AF798D"/>
    <w:rsid w:val="00B00B21"/>
    <w:rsid w:val="00B01691"/>
    <w:rsid w:val="00B02808"/>
    <w:rsid w:val="00B03474"/>
    <w:rsid w:val="00B034F9"/>
    <w:rsid w:val="00B03BB8"/>
    <w:rsid w:val="00B04725"/>
    <w:rsid w:val="00B051A3"/>
    <w:rsid w:val="00B066A2"/>
    <w:rsid w:val="00B10541"/>
    <w:rsid w:val="00B1197E"/>
    <w:rsid w:val="00B12AE6"/>
    <w:rsid w:val="00B16290"/>
    <w:rsid w:val="00B20DE0"/>
    <w:rsid w:val="00B22D16"/>
    <w:rsid w:val="00B2322F"/>
    <w:rsid w:val="00B2536C"/>
    <w:rsid w:val="00B25965"/>
    <w:rsid w:val="00B25CD5"/>
    <w:rsid w:val="00B26A28"/>
    <w:rsid w:val="00B30085"/>
    <w:rsid w:val="00B30F6A"/>
    <w:rsid w:val="00B31BD5"/>
    <w:rsid w:val="00B32936"/>
    <w:rsid w:val="00B34A02"/>
    <w:rsid w:val="00B35EDC"/>
    <w:rsid w:val="00B3722B"/>
    <w:rsid w:val="00B408A5"/>
    <w:rsid w:val="00B409F0"/>
    <w:rsid w:val="00B40FFF"/>
    <w:rsid w:val="00B418CA"/>
    <w:rsid w:val="00B41A54"/>
    <w:rsid w:val="00B42634"/>
    <w:rsid w:val="00B42F75"/>
    <w:rsid w:val="00B47472"/>
    <w:rsid w:val="00B47B01"/>
    <w:rsid w:val="00B51459"/>
    <w:rsid w:val="00B53950"/>
    <w:rsid w:val="00B54163"/>
    <w:rsid w:val="00B56D57"/>
    <w:rsid w:val="00B60D0B"/>
    <w:rsid w:val="00B61C37"/>
    <w:rsid w:val="00B6200E"/>
    <w:rsid w:val="00B624A7"/>
    <w:rsid w:val="00B63AD5"/>
    <w:rsid w:val="00B63BAF"/>
    <w:rsid w:val="00B65878"/>
    <w:rsid w:val="00B66F7F"/>
    <w:rsid w:val="00B70B31"/>
    <w:rsid w:val="00B72600"/>
    <w:rsid w:val="00B749B5"/>
    <w:rsid w:val="00B751B7"/>
    <w:rsid w:val="00B756E0"/>
    <w:rsid w:val="00B75749"/>
    <w:rsid w:val="00B75DC8"/>
    <w:rsid w:val="00B7670F"/>
    <w:rsid w:val="00B772FA"/>
    <w:rsid w:val="00B775CB"/>
    <w:rsid w:val="00B775F4"/>
    <w:rsid w:val="00B8020F"/>
    <w:rsid w:val="00B8179E"/>
    <w:rsid w:val="00B81A18"/>
    <w:rsid w:val="00B81FB2"/>
    <w:rsid w:val="00B828B0"/>
    <w:rsid w:val="00B82C5A"/>
    <w:rsid w:val="00B8382B"/>
    <w:rsid w:val="00B85030"/>
    <w:rsid w:val="00B869EC"/>
    <w:rsid w:val="00B86A6D"/>
    <w:rsid w:val="00B86C31"/>
    <w:rsid w:val="00B921E3"/>
    <w:rsid w:val="00B92E93"/>
    <w:rsid w:val="00B93985"/>
    <w:rsid w:val="00B94703"/>
    <w:rsid w:val="00B94822"/>
    <w:rsid w:val="00B959CB"/>
    <w:rsid w:val="00B96912"/>
    <w:rsid w:val="00BA1F67"/>
    <w:rsid w:val="00BA30AE"/>
    <w:rsid w:val="00BA3DCD"/>
    <w:rsid w:val="00BA5CCE"/>
    <w:rsid w:val="00BA5E44"/>
    <w:rsid w:val="00BA67B9"/>
    <w:rsid w:val="00BA6C81"/>
    <w:rsid w:val="00BA741D"/>
    <w:rsid w:val="00BB0068"/>
    <w:rsid w:val="00BB2304"/>
    <w:rsid w:val="00BB2673"/>
    <w:rsid w:val="00BB2ACF"/>
    <w:rsid w:val="00BB42FE"/>
    <w:rsid w:val="00BB5057"/>
    <w:rsid w:val="00BB537B"/>
    <w:rsid w:val="00BB76EF"/>
    <w:rsid w:val="00BC293F"/>
    <w:rsid w:val="00BC400E"/>
    <w:rsid w:val="00BC4A09"/>
    <w:rsid w:val="00BC54AA"/>
    <w:rsid w:val="00BC68FE"/>
    <w:rsid w:val="00BC6D25"/>
    <w:rsid w:val="00BC7EE6"/>
    <w:rsid w:val="00BD04A0"/>
    <w:rsid w:val="00BD0A00"/>
    <w:rsid w:val="00BD16F5"/>
    <w:rsid w:val="00BD25C9"/>
    <w:rsid w:val="00BD3043"/>
    <w:rsid w:val="00BD313F"/>
    <w:rsid w:val="00BE182D"/>
    <w:rsid w:val="00BE1CA3"/>
    <w:rsid w:val="00BE2FC2"/>
    <w:rsid w:val="00BE538F"/>
    <w:rsid w:val="00BF04AF"/>
    <w:rsid w:val="00BF1F5E"/>
    <w:rsid w:val="00BF4272"/>
    <w:rsid w:val="00BF4F46"/>
    <w:rsid w:val="00BF513D"/>
    <w:rsid w:val="00C00C20"/>
    <w:rsid w:val="00C03C85"/>
    <w:rsid w:val="00C0412E"/>
    <w:rsid w:val="00C11035"/>
    <w:rsid w:val="00C1216E"/>
    <w:rsid w:val="00C12DAD"/>
    <w:rsid w:val="00C13308"/>
    <w:rsid w:val="00C13488"/>
    <w:rsid w:val="00C14912"/>
    <w:rsid w:val="00C14FB9"/>
    <w:rsid w:val="00C16235"/>
    <w:rsid w:val="00C23037"/>
    <w:rsid w:val="00C24465"/>
    <w:rsid w:val="00C24B4E"/>
    <w:rsid w:val="00C30D65"/>
    <w:rsid w:val="00C3297A"/>
    <w:rsid w:val="00C32E67"/>
    <w:rsid w:val="00C3384B"/>
    <w:rsid w:val="00C33C5D"/>
    <w:rsid w:val="00C34B52"/>
    <w:rsid w:val="00C365B4"/>
    <w:rsid w:val="00C374BE"/>
    <w:rsid w:val="00C4087C"/>
    <w:rsid w:val="00C41101"/>
    <w:rsid w:val="00C41567"/>
    <w:rsid w:val="00C41E31"/>
    <w:rsid w:val="00C42336"/>
    <w:rsid w:val="00C42356"/>
    <w:rsid w:val="00C42DFF"/>
    <w:rsid w:val="00C42F43"/>
    <w:rsid w:val="00C4348F"/>
    <w:rsid w:val="00C439EC"/>
    <w:rsid w:val="00C4471A"/>
    <w:rsid w:val="00C45009"/>
    <w:rsid w:val="00C45736"/>
    <w:rsid w:val="00C459C4"/>
    <w:rsid w:val="00C46DB2"/>
    <w:rsid w:val="00C47CDD"/>
    <w:rsid w:val="00C50B9A"/>
    <w:rsid w:val="00C51EAA"/>
    <w:rsid w:val="00C52091"/>
    <w:rsid w:val="00C5355E"/>
    <w:rsid w:val="00C5400C"/>
    <w:rsid w:val="00C56730"/>
    <w:rsid w:val="00C56C63"/>
    <w:rsid w:val="00C57432"/>
    <w:rsid w:val="00C57C03"/>
    <w:rsid w:val="00C60F2E"/>
    <w:rsid w:val="00C61501"/>
    <w:rsid w:val="00C62217"/>
    <w:rsid w:val="00C65253"/>
    <w:rsid w:val="00C71387"/>
    <w:rsid w:val="00C71738"/>
    <w:rsid w:val="00C735F6"/>
    <w:rsid w:val="00C75361"/>
    <w:rsid w:val="00C75D3A"/>
    <w:rsid w:val="00C76273"/>
    <w:rsid w:val="00C7637B"/>
    <w:rsid w:val="00C765A0"/>
    <w:rsid w:val="00C76BB0"/>
    <w:rsid w:val="00C7755C"/>
    <w:rsid w:val="00C776B0"/>
    <w:rsid w:val="00C80AC4"/>
    <w:rsid w:val="00C81F28"/>
    <w:rsid w:val="00C82319"/>
    <w:rsid w:val="00C83100"/>
    <w:rsid w:val="00C8359D"/>
    <w:rsid w:val="00C83814"/>
    <w:rsid w:val="00C83E4A"/>
    <w:rsid w:val="00C84EBF"/>
    <w:rsid w:val="00C85451"/>
    <w:rsid w:val="00C86F1F"/>
    <w:rsid w:val="00C87266"/>
    <w:rsid w:val="00C946B0"/>
    <w:rsid w:val="00C947A7"/>
    <w:rsid w:val="00C94BA8"/>
    <w:rsid w:val="00C96851"/>
    <w:rsid w:val="00C96C8D"/>
    <w:rsid w:val="00CA1933"/>
    <w:rsid w:val="00CA1FB9"/>
    <w:rsid w:val="00CA2D17"/>
    <w:rsid w:val="00CA4FA2"/>
    <w:rsid w:val="00CA5162"/>
    <w:rsid w:val="00CA7D32"/>
    <w:rsid w:val="00CB1AA0"/>
    <w:rsid w:val="00CB31A8"/>
    <w:rsid w:val="00CB3DA7"/>
    <w:rsid w:val="00CB4697"/>
    <w:rsid w:val="00CB6B8B"/>
    <w:rsid w:val="00CB6C66"/>
    <w:rsid w:val="00CB7FC9"/>
    <w:rsid w:val="00CC17B4"/>
    <w:rsid w:val="00CC1E35"/>
    <w:rsid w:val="00CC291F"/>
    <w:rsid w:val="00CC30C3"/>
    <w:rsid w:val="00CC36DC"/>
    <w:rsid w:val="00CC5A5E"/>
    <w:rsid w:val="00CC5DBD"/>
    <w:rsid w:val="00CC6748"/>
    <w:rsid w:val="00CC6DAB"/>
    <w:rsid w:val="00CD0249"/>
    <w:rsid w:val="00CD10C5"/>
    <w:rsid w:val="00CD2E57"/>
    <w:rsid w:val="00CD3D85"/>
    <w:rsid w:val="00CD3E48"/>
    <w:rsid w:val="00CD5BEB"/>
    <w:rsid w:val="00CD5E0A"/>
    <w:rsid w:val="00CD6A30"/>
    <w:rsid w:val="00CD6E73"/>
    <w:rsid w:val="00CD74CE"/>
    <w:rsid w:val="00CD7A94"/>
    <w:rsid w:val="00CE0D4C"/>
    <w:rsid w:val="00CE1364"/>
    <w:rsid w:val="00CE1F61"/>
    <w:rsid w:val="00CE307A"/>
    <w:rsid w:val="00CE5609"/>
    <w:rsid w:val="00CE638A"/>
    <w:rsid w:val="00CE76F5"/>
    <w:rsid w:val="00CF5344"/>
    <w:rsid w:val="00CF5E97"/>
    <w:rsid w:val="00CF64F9"/>
    <w:rsid w:val="00CF6E6C"/>
    <w:rsid w:val="00CF73F0"/>
    <w:rsid w:val="00D00F9A"/>
    <w:rsid w:val="00D011C2"/>
    <w:rsid w:val="00D01EF0"/>
    <w:rsid w:val="00D03EA6"/>
    <w:rsid w:val="00D04D23"/>
    <w:rsid w:val="00D0553F"/>
    <w:rsid w:val="00D057C5"/>
    <w:rsid w:val="00D05926"/>
    <w:rsid w:val="00D064A6"/>
    <w:rsid w:val="00D06B69"/>
    <w:rsid w:val="00D11B4A"/>
    <w:rsid w:val="00D11BC0"/>
    <w:rsid w:val="00D120A0"/>
    <w:rsid w:val="00D1708B"/>
    <w:rsid w:val="00D2019F"/>
    <w:rsid w:val="00D21090"/>
    <w:rsid w:val="00D22440"/>
    <w:rsid w:val="00D2444C"/>
    <w:rsid w:val="00D24827"/>
    <w:rsid w:val="00D26ECF"/>
    <w:rsid w:val="00D27764"/>
    <w:rsid w:val="00D277E4"/>
    <w:rsid w:val="00D30620"/>
    <w:rsid w:val="00D30CFA"/>
    <w:rsid w:val="00D313A8"/>
    <w:rsid w:val="00D31B46"/>
    <w:rsid w:val="00D33670"/>
    <w:rsid w:val="00D34FE3"/>
    <w:rsid w:val="00D35722"/>
    <w:rsid w:val="00D409CE"/>
    <w:rsid w:val="00D41058"/>
    <w:rsid w:val="00D42EC6"/>
    <w:rsid w:val="00D435FC"/>
    <w:rsid w:val="00D43741"/>
    <w:rsid w:val="00D43A26"/>
    <w:rsid w:val="00D44DC4"/>
    <w:rsid w:val="00D46147"/>
    <w:rsid w:val="00D465CC"/>
    <w:rsid w:val="00D465EB"/>
    <w:rsid w:val="00D4696C"/>
    <w:rsid w:val="00D46EFF"/>
    <w:rsid w:val="00D50836"/>
    <w:rsid w:val="00D50B94"/>
    <w:rsid w:val="00D52CCE"/>
    <w:rsid w:val="00D53AD0"/>
    <w:rsid w:val="00D54B72"/>
    <w:rsid w:val="00D55096"/>
    <w:rsid w:val="00D553C9"/>
    <w:rsid w:val="00D556B4"/>
    <w:rsid w:val="00D5727F"/>
    <w:rsid w:val="00D60310"/>
    <w:rsid w:val="00D61A9B"/>
    <w:rsid w:val="00D62118"/>
    <w:rsid w:val="00D641D1"/>
    <w:rsid w:val="00D64AD0"/>
    <w:rsid w:val="00D671F8"/>
    <w:rsid w:val="00D67461"/>
    <w:rsid w:val="00D71625"/>
    <w:rsid w:val="00D7165F"/>
    <w:rsid w:val="00D727C4"/>
    <w:rsid w:val="00D728E8"/>
    <w:rsid w:val="00D76743"/>
    <w:rsid w:val="00D76765"/>
    <w:rsid w:val="00D7753E"/>
    <w:rsid w:val="00D8095E"/>
    <w:rsid w:val="00D8117A"/>
    <w:rsid w:val="00D81479"/>
    <w:rsid w:val="00D83D4B"/>
    <w:rsid w:val="00D84068"/>
    <w:rsid w:val="00D85502"/>
    <w:rsid w:val="00D85A9B"/>
    <w:rsid w:val="00D87BD2"/>
    <w:rsid w:val="00D910A6"/>
    <w:rsid w:val="00D91201"/>
    <w:rsid w:val="00D93E8B"/>
    <w:rsid w:val="00D9787F"/>
    <w:rsid w:val="00D97C0D"/>
    <w:rsid w:val="00D97E07"/>
    <w:rsid w:val="00D97FBD"/>
    <w:rsid w:val="00DA1A64"/>
    <w:rsid w:val="00DA23DA"/>
    <w:rsid w:val="00DA32B3"/>
    <w:rsid w:val="00DA579A"/>
    <w:rsid w:val="00DA5F30"/>
    <w:rsid w:val="00DB2007"/>
    <w:rsid w:val="00DB263B"/>
    <w:rsid w:val="00DB276B"/>
    <w:rsid w:val="00DB2A16"/>
    <w:rsid w:val="00DB3EBF"/>
    <w:rsid w:val="00DB4FB5"/>
    <w:rsid w:val="00DB74A9"/>
    <w:rsid w:val="00DB7C7B"/>
    <w:rsid w:val="00DC03D1"/>
    <w:rsid w:val="00DC0B93"/>
    <w:rsid w:val="00DC0BA9"/>
    <w:rsid w:val="00DC109A"/>
    <w:rsid w:val="00DC2113"/>
    <w:rsid w:val="00DC27EF"/>
    <w:rsid w:val="00DC2C40"/>
    <w:rsid w:val="00DC3AED"/>
    <w:rsid w:val="00DC4095"/>
    <w:rsid w:val="00DC4AC2"/>
    <w:rsid w:val="00DC4C2C"/>
    <w:rsid w:val="00DC65E6"/>
    <w:rsid w:val="00DC746E"/>
    <w:rsid w:val="00DD033E"/>
    <w:rsid w:val="00DD060C"/>
    <w:rsid w:val="00DD1099"/>
    <w:rsid w:val="00DD16F1"/>
    <w:rsid w:val="00DD34A9"/>
    <w:rsid w:val="00DD3B69"/>
    <w:rsid w:val="00DD4718"/>
    <w:rsid w:val="00DD526F"/>
    <w:rsid w:val="00DD56FF"/>
    <w:rsid w:val="00DD6A1E"/>
    <w:rsid w:val="00DD6D4C"/>
    <w:rsid w:val="00DD6DB1"/>
    <w:rsid w:val="00DD7C6D"/>
    <w:rsid w:val="00DE143F"/>
    <w:rsid w:val="00DE1861"/>
    <w:rsid w:val="00DE2301"/>
    <w:rsid w:val="00DE3BE6"/>
    <w:rsid w:val="00DE4A14"/>
    <w:rsid w:val="00DE64F3"/>
    <w:rsid w:val="00DE7C4B"/>
    <w:rsid w:val="00DF033B"/>
    <w:rsid w:val="00DF13CB"/>
    <w:rsid w:val="00DF14A4"/>
    <w:rsid w:val="00DF53C5"/>
    <w:rsid w:val="00DF5BDC"/>
    <w:rsid w:val="00DF5C99"/>
    <w:rsid w:val="00DF5CC7"/>
    <w:rsid w:val="00DF7129"/>
    <w:rsid w:val="00DF7F9A"/>
    <w:rsid w:val="00E00B4B"/>
    <w:rsid w:val="00E00EE5"/>
    <w:rsid w:val="00E01216"/>
    <w:rsid w:val="00E01A5F"/>
    <w:rsid w:val="00E01FB2"/>
    <w:rsid w:val="00E03D7C"/>
    <w:rsid w:val="00E03F74"/>
    <w:rsid w:val="00E04F74"/>
    <w:rsid w:val="00E0567C"/>
    <w:rsid w:val="00E05B73"/>
    <w:rsid w:val="00E06475"/>
    <w:rsid w:val="00E07738"/>
    <w:rsid w:val="00E1205E"/>
    <w:rsid w:val="00E14F66"/>
    <w:rsid w:val="00E15B03"/>
    <w:rsid w:val="00E16377"/>
    <w:rsid w:val="00E174E0"/>
    <w:rsid w:val="00E17EAE"/>
    <w:rsid w:val="00E200CC"/>
    <w:rsid w:val="00E20FA0"/>
    <w:rsid w:val="00E219FC"/>
    <w:rsid w:val="00E21DC8"/>
    <w:rsid w:val="00E2227F"/>
    <w:rsid w:val="00E23B04"/>
    <w:rsid w:val="00E23F97"/>
    <w:rsid w:val="00E25836"/>
    <w:rsid w:val="00E275CD"/>
    <w:rsid w:val="00E27B83"/>
    <w:rsid w:val="00E34F6F"/>
    <w:rsid w:val="00E35560"/>
    <w:rsid w:val="00E37A0F"/>
    <w:rsid w:val="00E4039A"/>
    <w:rsid w:val="00E40DD8"/>
    <w:rsid w:val="00E415D1"/>
    <w:rsid w:val="00E42FF8"/>
    <w:rsid w:val="00E431BD"/>
    <w:rsid w:val="00E501A2"/>
    <w:rsid w:val="00E50A9A"/>
    <w:rsid w:val="00E54B76"/>
    <w:rsid w:val="00E60CD4"/>
    <w:rsid w:val="00E6176C"/>
    <w:rsid w:val="00E61EA7"/>
    <w:rsid w:val="00E624EA"/>
    <w:rsid w:val="00E63869"/>
    <w:rsid w:val="00E64291"/>
    <w:rsid w:val="00E64FCD"/>
    <w:rsid w:val="00E66A89"/>
    <w:rsid w:val="00E66BC2"/>
    <w:rsid w:val="00E67552"/>
    <w:rsid w:val="00E70509"/>
    <w:rsid w:val="00E7058C"/>
    <w:rsid w:val="00E7158B"/>
    <w:rsid w:val="00E71E60"/>
    <w:rsid w:val="00E72F37"/>
    <w:rsid w:val="00E73E9E"/>
    <w:rsid w:val="00E73FD3"/>
    <w:rsid w:val="00E74500"/>
    <w:rsid w:val="00E755D3"/>
    <w:rsid w:val="00E77817"/>
    <w:rsid w:val="00E800AB"/>
    <w:rsid w:val="00E802CC"/>
    <w:rsid w:val="00E8078C"/>
    <w:rsid w:val="00E826BD"/>
    <w:rsid w:val="00E8309D"/>
    <w:rsid w:val="00E83421"/>
    <w:rsid w:val="00E83DF5"/>
    <w:rsid w:val="00E8743C"/>
    <w:rsid w:val="00E87CF4"/>
    <w:rsid w:val="00E909C9"/>
    <w:rsid w:val="00E91799"/>
    <w:rsid w:val="00E92829"/>
    <w:rsid w:val="00E92CC8"/>
    <w:rsid w:val="00E92E34"/>
    <w:rsid w:val="00E95E65"/>
    <w:rsid w:val="00E963C7"/>
    <w:rsid w:val="00E972E0"/>
    <w:rsid w:val="00EA0D11"/>
    <w:rsid w:val="00EA2189"/>
    <w:rsid w:val="00EA2CB2"/>
    <w:rsid w:val="00EA2D61"/>
    <w:rsid w:val="00EA4E92"/>
    <w:rsid w:val="00EA5DDB"/>
    <w:rsid w:val="00EA77B6"/>
    <w:rsid w:val="00EA7849"/>
    <w:rsid w:val="00EB0386"/>
    <w:rsid w:val="00EB071F"/>
    <w:rsid w:val="00EB0A92"/>
    <w:rsid w:val="00EB1D3A"/>
    <w:rsid w:val="00EB4E2C"/>
    <w:rsid w:val="00EB6009"/>
    <w:rsid w:val="00EC07AA"/>
    <w:rsid w:val="00EC0D4F"/>
    <w:rsid w:val="00EC2235"/>
    <w:rsid w:val="00EC5F23"/>
    <w:rsid w:val="00EC700A"/>
    <w:rsid w:val="00ED0147"/>
    <w:rsid w:val="00ED06FD"/>
    <w:rsid w:val="00ED076C"/>
    <w:rsid w:val="00ED0C12"/>
    <w:rsid w:val="00ED1258"/>
    <w:rsid w:val="00ED1F51"/>
    <w:rsid w:val="00ED26BB"/>
    <w:rsid w:val="00ED2B23"/>
    <w:rsid w:val="00ED3007"/>
    <w:rsid w:val="00ED52BE"/>
    <w:rsid w:val="00ED5602"/>
    <w:rsid w:val="00EE0804"/>
    <w:rsid w:val="00EE0D85"/>
    <w:rsid w:val="00EE3566"/>
    <w:rsid w:val="00EE4EF8"/>
    <w:rsid w:val="00EE51F7"/>
    <w:rsid w:val="00EE7910"/>
    <w:rsid w:val="00EE7FA1"/>
    <w:rsid w:val="00EF09BD"/>
    <w:rsid w:val="00EF2EDC"/>
    <w:rsid w:val="00EF512C"/>
    <w:rsid w:val="00EF58D1"/>
    <w:rsid w:val="00EF5F32"/>
    <w:rsid w:val="00F0014B"/>
    <w:rsid w:val="00F0024B"/>
    <w:rsid w:val="00F01929"/>
    <w:rsid w:val="00F02884"/>
    <w:rsid w:val="00F028E8"/>
    <w:rsid w:val="00F02FB3"/>
    <w:rsid w:val="00F030FC"/>
    <w:rsid w:val="00F040D8"/>
    <w:rsid w:val="00F043D1"/>
    <w:rsid w:val="00F045F8"/>
    <w:rsid w:val="00F04C77"/>
    <w:rsid w:val="00F05E79"/>
    <w:rsid w:val="00F07168"/>
    <w:rsid w:val="00F109DB"/>
    <w:rsid w:val="00F10B28"/>
    <w:rsid w:val="00F125F6"/>
    <w:rsid w:val="00F127AB"/>
    <w:rsid w:val="00F127FD"/>
    <w:rsid w:val="00F13BC7"/>
    <w:rsid w:val="00F14123"/>
    <w:rsid w:val="00F15907"/>
    <w:rsid w:val="00F20780"/>
    <w:rsid w:val="00F20A38"/>
    <w:rsid w:val="00F220AB"/>
    <w:rsid w:val="00F2472D"/>
    <w:rsid w:val="00F24FDE"/>
    <w:rsid w:val="00F253AB"/>
    <w:rsid w:val="00F25904"/>
    <w:rsid w:val="00F276C4"/>
    <w:rsid w:val="00F30DA8"/>
    <w:rsid w:val="00F33602"/>
    <w:rsid w:val="00F36A52"/>
    <w:rsid w:val="00F37D1A"/>
    <w:rsid w:val="00F41218"/>
    <w:rsid w:val="00F41708"/>
    <w:rsid w:val="00F41732"/>
    <w:rsid w:val="00F421F4"/>
    <w:rsid w:val="00F4299E"/>
    <w:rsid w:val="00F44245"/>
    <w:rsid w:val="00F45309"/>
    <w:rsid w:val="00F45778"/>
    <w:rsid w:val="00F47497"/>
    <w:rsid w:val="00F47904"/>
    <w:rsid w:val="00F47B8C"/>
    <w:rsid w:val="00F51DDB"/>
    <w:rsid w:val="00F53312"/>
    <w:rsid w:val="00F551E5"/>
    <w:rsid w:val="00F569DC"/>
    <w:rsid w:val="00F57143"/>
    <w:rsid w:val="00F57B07"/>
    <w:rsid w:val="00F60077"/>
    <w:rsid w:val="00F60890"/>
    <w:rsid w:val="00F616F8"/>
    <w:rsid w:val="00F630F4"/>
    <w:rsid w:val="00F63233"/>
    <w:rsid w:val="00F63527"/>
    <w:rsid w:val="00F643E0"/>
    <w:rsid w:val="00F64BC8"/>
    <w:rsid w:val="00F64C53"/>
    <w:rsid w:val="00F64E0F"/>
    <w:rsid w:val="00F65046"/>
    <w:rsid w:val="00F66999"/>
    <w:rsid w:val="00F66AAE"/>
    <w:rsid w:val="00F672B6"/>
    <w:rsid w:val="00F7073C"/>
    <w:rsid w:val="00F71C7F"/>
    <w:rsid w:val="00F72056"/>
    <w:rsid w:val="00F72278"/>
    <w:rsid w:val="00F7285D"/>
    <w:rsid w:val="00F72D3E"/>
    <w:rsid w:val="00F73AB2"/>
    <w:rsid w:val="00F73B3D"/>
    <w:rsid w:val="00F77BF0"/>
    <w:rsid w:val="00F80211"/>
    <w:rsid w:val="00F8227F"/>
    <w:rsid w:val="00F836A2"/>
    <w:rsid w:val="00F83723"/>
    <w:rsid w:val="00F83733"/>
    <w:rsid w:val="00F84D0E"/>
    <w:rsid w:val="00F85537"/>
    <w:rsid w:val="00F8746B"/>
    <w:rsid w:val="00F91768"/>
    <w:rsid w:val="00F9446B"/>
    <w:rsid w:val="00F95F50"/>
    <w:rsid w:val="00FA041A"/>
    <w:rsid w:val="00FA04F9"/>
    <w:rsid w:val="00FA0A3B"/>
    <w:rsid w:val="00FA1513"/>
    <w:rsid w:val="00FA19EF"/>
    <w:rsid w:val="00FA1C96"/>
    <w:rsid w:val="00FA28DD"/>
    <w:rsid w:val="00FA2B08"/>
    <w:rsid w:val="00FA7EA4"/>
    <w:rsid w:val="00FB0189"/>
    <w:rsid w:val="00FB0584"/>
    <w:rsid w:val="00FB15C0"/>
    <w:rsid w:val="00FB1E6F"/>
    <w:rsid w:val="00FB1F09"/>
    <w:rsid w:val="00FB22E4"/>
    <w:rsid w:val="00FB269C"/>
    <w:rsid w:val="00FB27EA"/>
    <w:rsid w:val="00FB2FCB"/>
    <w:rsid w:val="00FB336D"/>
    <w:rsid w:val="00FB7212"/>
    <w:rsid w:val="00FC05F5"/>
    <w:rsid w:val="00FC0A9F"/>
    <w:rsid w:val="00FC0F2C"/>
    <w:rsid w:val="00FC1050"/>
    <w:rsid w:val="00FC277C"/>
    <w:rsid w:val="00FC316E"/>
    <w:rsid w:val="00FC3201"/>
    <w:rsid w:val="00FC336A"/>
    <w:rsid w:val="00FC34B6"/>
    <w:rsid w:val="00FC4272"/>
    <w:rsid w:val="00FC4DB8"/>
    <w:rsid w:val="00FC55C1"/>
    <w:rsid w:val="00FC78D8"/>
    <w:rsid w:val="00FC7DE0"/>
    <w:rsid w:val="00FC7F2F"/>
    <w:rsid w:val="00FD0E26"/>
    <w:rsid w:val="00FD18F7"/>
    <w:rsid w:val="00FD2FF7"/>
    <w:rsid w:val="00FD3E87"/>
    <w:rsid w:val="00FD4EA5"/>
    <w:rsid w:val="00FD5FCB"/>
    <w:rsid w:val="00FD658D"/>
    <w:rsid w:val="00FE0DC2"/>
    <w:rsid w:val="00FE10AA"/>
    <w:rsid w:val="00FE1207"/>
    <w:rsid w:val="00FE12A2"/>
    <w:rsid w:val="00FE1470"/>
    <w:rsid w:val="00FE2C7D"/>
    <w:rsid w:val="00FE40A0"/>
    <w:rsid w:val="00FE4FF1"/>
    <w:rsid w:val="00FE639D"/>
    <w:rsid w:val="00FE72D9"/>
    <w:rsid w:val="00FE7EF8"/>
    <w:rsid w:val="00FF0E1D"/>
    <w:rsid w:val="00FF2448"/>
    <w:rsid w:val="00FF2BAC"/>
    <w:rsid w:val="00FF386F"/>
    <w:rsid w:val="00FF4B93"/>
    <w:rsid w:val="00FF5A1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locked/>
    <w:rsid w:val="00FD3E87"/>
    <w:rPr>
      <w:rFonts w:cs="Times New Roman"/>
      <w:b/>
      <w:bCs/>
      <w:sz w:val="24"/>
      <w:szCs w:val="24"/>
      <w:lang w:val="en-GB"/>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rFonts w:cs="Times New Roman"/>
      <w:b/>
      <w:bCs/>
      <w:sz w:val="24"/>
      <w:szCs w:val="24"/>
      <w:lang w:val="en-GB"/>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locked/>
    <w:rsid w:val="00FD3E87"/>
    <w:rPr>
      <w:rFonts w:cs="Times New Roman"/>
      <w:sz w:val="24"/>
      <w:szCs w:val="24"/>
      <w:lang w:val="en-GB"/>
    </w:rPr>
  </w:style>
  <w:style w:type="character" w:styleId="PageNumber">
    <w:name w:val="page number"/>
    <w:basedOn w:val="DefaultParagraphFont"/>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basedOn w:val="Normal"/>
    <w:uiPriority w:val="99"/>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uiPriority w:val="99"/>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 w:type="paragraph" w:styleId="Revision">
    <w:name w:val="Revision"/>
    <w:hidden/>
    <w:uiPriority w:val="99"/>
    <w:semiHidden/>
    <w:rsid w:val="00DC65E6"/>
    <w:rPr>
      <w:sz w:val="24"/>
      <w:szCs w:val="24"/>
      <w:lang w:val="en-GB"/>
    </w:rPr>
  </w:style>
</w:styles>
</file>

<file path=word/webSettings.xml><?xml version="1.0" encoding="utf-8"?>
<w:webSettings xmlns:r="http://schemas.openxmlformats.org/officeDocument/2006/relationships" xmlns:w="http://schemas.openxmlformats.org/wordprocessingml/2006/main">
  <w:divs>
    <w:div w:id="82580061">
      <w:bodyDiv w:val="1"/>
      <w:marLeft w:val="0"/>
      <w:marRight w:val="0"/>
      <w:marTop w:val="0"/>
      <w:marBottom w:val="0"/>
      <w:divBdr>
        <w:top w:val="none" w:sz="0" w:space="0" w:color="auto"/>
        <w:left w:val="none" w:sz="0" w:space="0" w:color="auto"/>
        <w:bottom w:val="none" w:sz="0" w:space="0" w:color="auto"/>
        <w:right w:val="none" w:sz="0" w:space="0" w:color="auto"/>
      </w:divBdr>
    </w:div>
    <w:div w:id="167528724">
      <w:bodyDiv w:val="1"/>
      <w:marLeft w:val="0"/>
      <w:marRight w:val="0"/>
      <w:marTop w:val="0"/>
      <w:marBottom w:val="0"/>
      <w:divBdr>
        <w:top w:val="none" w:sz="0" w:space="0" w:color="auto"/>
        <w:left w:val="none" w:sz="0" w:space="0" w:color="auto"/>
        <w:bottom w:val="none" w:sz="0" w:space="0" w:color="auto"/>
        <w:right w:val="none" w:sz="0" w:space="0" w:color="auto"/>
      </w:divBdr>
    </w:div>
    <w:div w:id="184908256">
      <w:bodyDiv w:val="1"/>
      <w:marLeft w:val="0"/>
      <w:marRight w:val="0"/>
      <w:marTop w:val="0"/>
      <w:marBottom w:val="0"/>
      <w:divBdr>
        <w:top w:val="none" w:sz="0" w:space="0" w:color="auto"/>
        <w:left w:val="none" w:sz="0" w:space="0" w:color="auto"/>
        <w:bottom w:val="none" w:sz="0" w:space="0" w:color="auto"/>
        <w:right w:val="none" w:sz="0" w:space="0" w:color="auto"/>
      </w:divBdr>
    </w:div>
    <w:div w:id="461457241">
      <w:bodyDiv w:val="1"/>
      <w:marLeft w:val="0"/>
      <w:marRight w:val="0"/>
      <w:marTop w:val="0"/>
      <w:marBottom w:val="0"/>
      <w:divBdr>
        <w:top w:val="none" w:sz="0" w:space="0" w:color="auto"/>
        <w:left w:val="none" w:sz="0" w:space="0" w:color="auto"/>
        <w:bottom w:val="none" w:sz="0" w:space="0" w:color="auto"/>
        <w:right w:val="none" w:sz="0" w:space="0" w:color="auto"/>
      </w:divBdr>
    </w:div>
    <w:div w:id="903179909">
      <w:bodyDiv w:val="1"/>
      <w:marLeft w:val="0"/>
      <w:marRight w:val="0"/>
      <w:marTop w:val="0"/>
      <w:marBottom w:val="0"/>
      <w:divBdr>
        <w:top w:val="none" w:sz="0" w:space="0" w:color="auto"/>
        <w:left w:val="none" w:sz="0" w:space="0" w:color="auto"/>
        <w:bottom w:val="none" w:sz="0" w:space="0" w:color="auto"/>
        <w:right w:val="none" w:sz="0" w:space="0" w:color="auto"/>
      </w:divBdr>
    </w:div>
    <w:div w:id="965891823">
      <w:bodyDiv w:val="1"/>
      <w:marLeft w:val="0"/>
      <w:marRight w:val="0"/>
      <w:marTop w:val="0"/>
      <w:marBottom w:val="0"/>
      <w:divBdr>
        <w:top w:val="none" w:sz="0" w:space="0" w:color="auto"/>
        <w:left w:val="none" w:sz="0" w:space="0" w:color="auto"/>
        <w:bottom w:val="none" w:sz="0" w:space="0" w:color="auto"/>
        <w:right w:val="none" w:sz="0" w:space="0" w:color="auto"/>
      </w:divBdr>
    </w:div>
    <w:div w:id="1609197461">
      <w:bodyDiv w:val="1"/>
      <w:marLeft w:val="0"/>
      <w:marRight w:val="0"/>
      <w:marTop w:val="0"/>
      <w:marBottom w:val="0"/>
      <w:divBdr>
        <w:top w:val="none" w:sz="0" w:space="0" w:color="auto"/>
        <w:left w:val="none" w:sz="0" w:space="0" w:color="auto"/>
        <w:bottom w:val="none" w:sz="0" w:space="0" w:color="auto"/>
        <w:right w:val="none" w:sz="0" w:space="0" w:color="auto"/>
      </w:divBdr>
    </w:div>
    <w:div w:id="1704594351">
      <w:bodyDiv w:val="1"/>
      <w:marLeft w:val="0"/>
      <w:marRight w:val="0"/>
      <w:marTop w:val="0"/>
      <w:marBottom w:val="0"/>
      <w:divBdr>
        <w:top w:val="none" w:sz="0" w:space="0" w:color="auto"/>
        <w:left w:val="none" w:sz="0" w:space="0" w:color="auto"/>
        <w:bottom w:val="none" w:sz="0" w:space="0" w:color="auto"/>
        <w:right w:val="none" w:sz="0" w:space="0" w:color="auto"/>
      </w:divBdr>
    </w:div>
    <w:div w:id="1756392502">
      <w:marLeft w:val="0"/>
      <w:marRight w:val="0"/>
      <w:marTop w:val="0"/>
      <w:marBottom w:val="0"/>
      <w:divBdr>
        <w:top w:val="none" w:sz="0" w:space="0" w:color="auto"/>
        <w:left w:val="none" w:sz="0" w:space="0" w:color="auto"/>
        <w:bottom w:val="none" w:sz="0" w:space="0" w:color="auto"/>
        <w:right w:val="none" w:sz="0" w:space="0" w:color="auto"/>
      </w:divBdr>
      <w:divsChild>
        <w:div w:id="1756392503">
          <w:marLeft w:val="864"/>
          <w:marRight w:val="0"/>
          <w:marTop w:val="134"/>
          <w:marBottom w:val="0"/>
          <w:divBdr>
            <w:top w:val="none" w:sz="0" w:space="0" w:color="auto"/>
            <w:left w:val="none" w:sz="0" w:space="0" w:color="auto"/>
            <w:bottom w:val="none" w:sz="0" w:space="0" w:color="auto"/>
            <w:right w:val="none" w:sz="0" w:space="0" w:color="auto"/>
          </w:divBdr>
        </w:div>
        <w:div w:id="1756392530">
          <w:marLeft w:val="864"/>
          <w:marRight w:val="0"/>
          <w:marTop w:val="134"/>
          <w:marBottom w:val="0"/>
          <w:divBdr>
            <w:top w:val="none" w:sz="0" w:space="0" w:color="auto"/>
            <w:left w:val="none" w:sz="0" w:space="0" w:color="auto"/>
            <w:bottom w:val="none" w:sz="0" w:space="0" w:color="auto"/>
            <w:right w:val="none" w:sz="0" w:space="0" w:color="auto"/>
          </w:divBdr>
        </w:div>
        <w:div w:id="1756392533">
          <w:marLeft w:val="864"/>
          <w:marRight w:val="0"/>
          <w:marTop w:val="134"/>
          <w:marBottom w:val="0"/>
          <w:divBdr>
            <w:top w:val="none" w:sz="0" w:space="0" w:color="auto"/>
            <w:left w:val="none" w:sz="0" w:space="0" w:color="auto"/>
            <w:bottom w:val="none" w:sz="0" w:space="0" w:color="auto"/>
            <w:right w:val="none" w:sz="0" w:space="0" w:color="auto"/>
          </w:divBdr>
        </w:div>
      </w:divsChild>
    </w:div>
    <w:div w:id="1756392505">
      <w:marLeft w:val="0"/>
      <w:marRight w:val="0"/>
      <w:marTop w:val="0"/>
      <w:marBottom w:val="0"/>
      <w:divBdr>
        <w:top w:val="none" w:sz="0" w:space="0" w:color="auto"/>
        <w:left w:val="none" w:sz="0" w:space="0" w:color="auto"/>
        <w:bottom w:val="none" w:sz="0" w:space="0" w:color="auto"/>
        <w:right w:val="none" w:sz="0" w:space="0" w:color="auto"/>
      </w:divBdr>
    </w:div>
    <w:div w:id="1756392507">
      <w:marLeft w:val="0"/>
      <w:marRight w:val="0"/>
      <w:marTop w:val="0"/>
      <w:marBottom w:val="0"/>
      <w:divBdr>
        <w:top w:val="none" w:sz="0" w:space="0" w:color="auto"/>
        <w:left w:val="none" w:sz="0" w:space="0" w:color="auto"/>
        <w:bottom w:val="none" w:sz="0" w:space="0" w:color="auto"/>
        <w:right w:val="none" w:sz="0" w:space="0" w:color="auto"/>
      </w:divBdr>
    </w:div>
    <w:div w:id="1756392508">
      <w:marLeft w:val="0"/>
      <w:marRight w:val="0"/>
      <w:marTop w:val="0"/>
      <w:marBottom w:val="0"/>
      <w:divBdr>
        <w:top w:val="none" w:sz="0" w:space="0" w:color="auto"/>
        <w:left w:val="none" w:sz="0" w:space="0" w:color="auto"/>
        <w:bottom w:val="none" w:sz="0" w:space="0" w:color="auto"/>
        <w:right w:val="none" w:sz="0" w:space="0" w:color="auto"/>
      </w:divBdr>
    </w:div>
    <w:div w:id="1756392509">
      <w:marLeft w:val="0"/>
      <w:marRight w:val="0"/>
      <w:marTop w:val="0"/>
      <w:marBottom w:val="0"/>
      <w:divBdr>
        <w:top w:val="none" w:sz="0" w:space="0" w:color="auto"/>
        <w:left w:val="none" w:sz="0" w:space="0" w:color="auto"/>
        <w:bottom w:val="none" w:sz="0" w:space="0" w:color="auto"/>
        <w:right w:val="none" w:sz="0" w:space="0" w:color="auto"/>
      </w:divBdr>
    </w:div>
    <w:div w:id="1756392510">
      <w:marLeft w:val="0"/>
      <w:marRight w:val="0"/>
      <w:marTop w:val="0"/>
      <w:marBottom w:val="0"/>
      <w:divBdr>
        <w:top w:val="none" w:sz="0" w:space="0" w:color="auto"/>
        <w:left w:val="none" w:sz="0" w:space="0" w:color="auto"/>
        <w:bottom w:val="none" w:sz="0" w:space="0" w:color="auto"/>
        <w:right w:val="none" w:sz="0" w:space="0" w:color="auto"/>
      </w:divBdr>
    </w:div>
    <w:div w:id="1756392511">
      <w:marLeft w:val="0"/>
      <w:marRight w:val="0"/>
      <w:marTop w:val="0"/>
      <w:marBottom w:val="0"/>
      <w:divBdr>
        <w:top w:val="none" w:sz="0" w:space="0" w:color="auto"/>
        <w:left w:val="none" w:sz="0" w:space="0" w:color="auto"/>
        <w:bottom w:val="none" w:sz="0" w:space="0" w:color="auto"/>
        <w:right w:val="none" w:sz="0" w:space="0" w:color="auto"/>
      </w:divBdr>
    </w:div>
    <w:div w:id="1756392515">
      <w:marLeft w:val="0"/>
      <w:marRight w:val="0"/>
      <w:marTop w:val="0"/>
      <w:marBottom w:val="0"/>
      <w:divBdr>
        <w:top w:val="none" w:sz="0" w:space="0" w:color="auto"/>
        <w:left w:val="none" w:sz="0" w:space="0" w:color="auto"/>
        <w:bottom w:val="none" w:sz="0" w:space="0" w:color="auto"/>
        <w:right w:val="none" w:sz="0" w:space="0" w:color="auto"/>
      </w:divBdr>
    </w:div>
    <w:div w:id="1756392518">
      <w:marLeft w:val="0"/>
      <w:marRight w:val="0"/>
      <w:marTop w:val="0"/>
      <w:marBottom w:val="0"/>
      <w:divBdr>
        <w:top w:val="none" w:sz="0" w:space="0" w:color="auto"/>
        <w:left w:val="none" w:sz="0" w:space="0" w:color="auto"/>
        <w:bottom w:val="none" w:sz="0" w:space="0" w:color="auto"/>
        <w:right w:val="none" w:sz="0" w:space="0" w:color="auto"/>
      </w:divBdr>
    </w:div>
    <w:div w:id="1756392521">
      <w:marLeft w:val="0"/>
      <w:marRight w:val="0"/>
      <w:marTop w:val="0"/>
      <w:marBottom w:val="0"/>
      <w:divBdr>
        <w:top w:val="none" w:sz="0" w:space="0" w:color="auto"/>
        <w:left w:val="none" w:sz="0" w:space="0" w:color="auto"/>
        <w:bottom w:val="none" w:sz="0" w:space="0" w:color="auto"/>
        <w:right w:val="none" w:sz="0" w:space="0" w:color="auto"/>
      </w:divBdr>
    </w:div>
    <w:div w:id="1756392524">
      <w:marLeft w:val="0"/>
      <w:marRight w:val="0"/>
      <w:marTop w:val="0"/>
      <w:marBottom w:val="0"/>
      <w:divBdr>
        <w:top w:val="none" w:sz="0" w:space="0" w:color="auto"/>
        <w:left w:val="none" w:sz="0" w:space="0" w:color="auto"/>
        <w:bottom w:val="none" w:sz="0" w:space="0" w:color="auto"/>
        <w:right w:val="none" w:sz="0" w:space="0" w:color="auto"/>
      </w:divBdr>
      <w:divsChild>
        <w:div w:id="1756392512">
          <w:marLeft w:val="0"/>
          <w:marRight w:val="0"/>
          <w:marTop w:val="0"/>
          <w:marBottom w:val="0"/>
          <w:divBdr>
            <w:top w:val="none" w:sz="0" w:space="0" w:color="auto"/>
            <w:left w:val="none" w:sz="0" w:space="0" w:color="auto"/>
            <w:bottom w:val="none" w:sz="0" w:space="0" w:color="auto"/>
            <w:right w:val="none" w:sz="0" w:space="0" w:color="auto"/>
          </w:divBdr>
          <w:divsChild>
            <w:div w:id="1756392504">
              <w:marLeft w:val="0"/>
              <w:marRight w:val="0"/>
              <w:marTop w:val="0"/>
              <w:marBottom w:val="0"/>
              <w:divBdr>
                <w:top w:val="none" w:sz="0" w:space="0" w:color="auto"/>
                <w:left w:val="none" w:sz="0" w:space="0" w:color="auto"/>
                <w:bottom w:val="none" w:sz="0" w:space="0" w:color="auto"/>
                <w:right w:val="none" w:sz="0" w:space="0" w:color="auto"/>
              </w:divBdr>
            </w:div>
            <w:div w:id="1756392506">
              <w:marLeft w:val="0"/>
              <w:marRight w:val="0"/>
              <w:marTop w:val="0"/>
              <w:marBottom w:val="0"/>
              <w:divBdr>
                <w:top w:val="none" w:sz="0" w:space="0" w:color="auto"/>
                <w:left w:val="none" w:sz="0" w:space="0" w:color="auto"/>
                <w:bottom w:val="none" w:sz="0" w:space="0" w:color="auto"/>
                <w:right w:val="none" w:sz="0" w:space="0" w:color="auto"/>
              </w:divBdr>
            </w:div>
            <w:div w:id="1756392513">
              <w:marLeft w:val="0"/>
              <w:marRight w:val="0"/>
              <w:marTop w:val="0"/>
              <w:marBottom w:val="0"/>
              <w:divBdr>
                <w:top w:val="none" w:sz="0" w:space="0" w:color="auto"/>
                <w:left w:val="none" w:sz="0" w:space="0" w:color="auto"/>
                <w:bottom w:val="none" w:sz="0" w:space="0" w:color="auto"/>
                <w:right w:val="none" w:sz="0" w:space="0" w:color="auto"/>
              </w:divBdr>
            </w:div>
            <w:div w:id="1756392514">
              <w:marLeft w:val="0"/>
              <w:marRight w:val="0"/>
              <w:marTop w:val="0"/>
              <w:marBottom w:val="0"/>
              <w:divBdr>
                <w:top w:val="none" w:sz="0" w:space="0" w:color="auto"/>
                <w:left w:val="none" w:sz="0" w:space="0" w:color="auto"/>
                <w:bottom w:val="none" w:sz="0" w:space="0" w:color="auto"/>
                <w:right w:val="none" w:sz="0" w:space="0" w:color="auto"/>
              </w:divBdr>
            </w:div>
            <w:div w:id="1756392516">
              <w:marLeft w:val="0"/>
              <w:marRight w:val="0"/>
              <w:marTop w:val="0"/>
              <w:marBottom w:val="0"/>
              <w:divBdr>
                <w:top w:val="none" w:sz="0" w:space="0" w:color="auto"/>
                <w:left w:val="none" w:sz="0" w:space="0" w:color="auto"/>
                <w:bottom w:val="none" w:sz="0" w:space="0" w:color="auto"/>
                <w:right w:val="none" w:sz="0" w:space="0" w:color="auto"/>
              </w:divBdr>
            </w:div>
            <w:div w:id="1756392517">
              <w:marLeft w:val="0"/>
              <w:marRight w:val="0"/>
              <w:marTop w:val="0"/>
              <w:marBottom w:val="0"/>
              <w:divBdr>
                <w:top w:val="none" w:sz="0" w:space="0" w:color="auto"/>
                <w:left w:val="none" w:sz="0" w:space="0" w:color="auto"/>
                <w:bottom w:val="none" w:sz="0" w:space="0" w:color="auto"/>
                <w:right w:val="none" w:sz="0" w:space="0" w:color="auto"/>
              </w:divBdr>
            </w:div>
            <w:div w:id="1756392519">
              <w:marLeft w:val="0"/>
              <w:marRight w:val="0"/>
              <w:marTop w:val="0"/>
              <w:marBottom w:val="0"/>
              <w:divBdr>
                <w:top w:val="none" w:sz="0" w:space="0" w:color="auto"/>
                <w:left w:val="none" w:sz="0" w:space="0" w:color="auto"/>
                <w:bottom w:val="none" w:sz="0" w:space="0" w:color="auto"/>
                <w:right w:val="none" w:sz="0" w:space="0" w:color="auto"/>
              </w:divBdr>
            </w:div>
            <w:div w:id="1756392520">
              <w:marLeft w:val="0"/>
              <w:marRight w:val="0"/>
              <w:marTop w:val="0"/>
              <w:marBottom w:val="0"/>
              <w:divBdr>
                <w:top w:val="none" w:sz="0" w:space="0" w:color="auto"/>
                <w:left w:val="none" w:sz="0" w:space="0" w:color="auto"/>
                <w:bottom w:val="none" w:sz="0" w:space="0" w:color="auto"/>
                <w:right w:val="none" w:sz="0" w:space="0" w:color="auto"/>
              </w:divBdr>
            </w:div>
            <w:div w:id="1756392522">
              <w:marLeft w:val="0"/>
              <w:marRight w:val="0"/>
              <w:marTop w:val="0"/>
              <w:marBottom w:val="0"/>
              <w:divBdr>
                <w:top w:val="none" w:sz="0" w:space="0" w:color="auto"/>
                <w:left w:val="none" w:sz="0" w:space="0" w:color="auto"/>
                <w:bottom w:val="none" w:sz="0" w:space="0" w:color="auto"/>
                <w:right w:val="none" w:sz="0" w:space="0" w:color="auto"/>
              </w:divBdr>
            </w:div>
            <w:div w:id="17563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2525">
      <w:marLeft w:val="0"/>
      <w:marRight w:val="0"/>
      <w:marTop w:val="0"/>
      <w:marBottom w:val="0"/>
      <w:divBdr>
        <w:top w:val="none" w:sz="0" w:space="0" w:color="auto"/>
        <w:left w:val="none" w:sz="0" w:space="0" w:color="auto"/>
        <w:bottom w:val="none" w:sz="0" w:space="0" w:color="auto"/>
        <w:right w:val="none" w:sz="0" w:space="0" w:color="auto"/>
      </w:divBdr>
    </w:div>
    <w:div w:id="1756392526">
      <w:marLeft w:val="0"/>
      <w:marRight w:val="0"/>
      <w:marTop w:val="0"/>
      <w:marBottom w:val="0"/>
      <w:divBdr>
        <w:top w:val="none" w:sz="0" w:space="0" w:color="auto"/>
        <w:left w:val="none" w:sz="0" w:space="0" w:color="auto"/>
        <w:bottom w:val="none" w:sz="0" w:space="0" w:color="auto"/>
        <w:right w:val="none" w:sz="0" w:space="0" w:color="auto"/>
      </w:divBdr>
    </w:div>
    <w:div w:id="1756392528">
      <w:marLeft w:val="0"/>
      <w:marRight w:val="0"/>
      <w:marTop w:val="0"/>
      <w:marBottom w:val="0"/>
      <w:divBdr>
        <w:top w:val="none" w:sz="0" w:space="0" w:color="auto"/>
        <w:left w:val="none" w:sz="0" w:space="0" w:color="auto"/>
        <w:bottom w:val="none" w:sz="0" w:space="0" w:color="auto"/>
        <w:right w:val="none" w:sz="0" w:space="0" w:color="auto"/>
      </w:divBdr>
      <w:divsChild>
        <w:div w:id="1756392527">
          <w:marLeft w:val="1368"/>
          <w:marRight w:val="0"/>
          <w:marTop w:val="115"/>
          <w:marBottom w:val="0"/>
          <w:divBdr>
            <w:top w:val="none" w:sz="0" w:space="0" w:color="auto"/>
            <w:left w:val="none" w:sz="0" w:space="0" w:color="auto"/>
            <w:bottom w:val="none" w:sz="0" w:space="0" w:color="auto"/>
            <w:right w:val="none" w:sz="0" w:space="0" w:color="auto"/>
          </w:divBdr>
        </w:div>
        <w:div w:id="1756392529">
          <w:marLeft w:val="1368"/>
          <w:marRight w:val="0"/>
          <w:marTop w:val="115"/>
          <w:marBottom w:val="0"/>
          <w:divBdr>
            <w:top w:val="none" w:sz="0" w:space="0" w:color="auto"/>
            <w:left w:val="none" w:sz="0" w:space="0" w:color="auto"/>
            <w:bottom w:val="none" w:sz="0" w:space="0" w:color="auto"/>
            <w:right w:val="none" w:sz="0" w:space="0" w:color="auto"/>
          </w:divBdr>
        </w:div>
        <w:div w:id="1756392531">
          <w:marLeft w:val="1368"/>
          <w:marRight w:val="0"/>
          <w:marTop w:val="115"/>
          <w:marBottom w:val="0"/>
          <w:divBdr>
            <w:top w:val="none" w:sz="0" w:space="0" w:color="auto"/>
            <w:left w:val="none" w:sz="0" w:space="0" w:color="auto"/>
            <w:bottom w:val="none" w:sz="0" w:space="0" w:color="auto"/>
            <w:right w:val="none" w:sz="0" w:space="0" w:color="auto"/>
          </w:divBdr>
        </w:div>
        <w:div w:id="1756392532">
          <w:marLeft w:val="1368"/>
          <w:marRight w:val="0"/>
          <w:marTop w:val="115"/>
          <w:marBottom w:val="0"/>
          <w:divBdr>
            <w:top w:val="none" w:sz="0" w:space="0" w:color="auto"/>
            <w:left w:val="none" w:sz="0" w:space="0" w:color="auto"/>
            <w:bottom w:val="none" w:sz="0" w:space="0" w:color="auto"/>
            <w:right w:val="none" w:sz="0" w:space="0" w:color="auto"/>
          </w:divBdr>
        </w:div>
      </w:divsChild>
    </w:div>
    <w:div w:id="1756392534">
      <w:marLeft w:val="0"/>
      <w:marRight w:val="0"/>
      <w:marTop w:val="0"/>
      <w:marBottom w:val="0"/>
      <w:divBdr>
        <w:top w:val="none" w:sz="0" w:space="0" w:color="auto"/>
        <w:left w:val="none" w:sz="0" w:space="0" w:color="auto"/>
        <w:bottom w:val="none" w:sz="0" w:space="0" w:color="auto"/>
        <w:right w:val="none" w:sz="0" w:space="0" w:color="auto"/>
      </w:divBdr>
    </w:div>
    <w:div w:id="17563925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1516</Words>
  <Characters>8075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9572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3</cp:revision>
  <cp:lastPrinted>2017-10-30T12:05:00Z</cp:lastPrinted>
  <dcterms:created xsi:type="dcterms:W3CDTF">2018-02-09T12:53:00Z</dcterms:created>
  <dcterms:modified xsi:type="dcterms:W3CDTF">2018-02-09T16:21:00Z</dcterms:modified>
</cp:coreProperties>
</file>